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测绘科学与技术</w:t>
      </w:r>
      <w:r>
        <w:rPr>
          <w:rFonts w:ascii="黑体" w:hAnsi="黑体" w:eastAsia="黑体"/>
          <w:sz w:val="44"/>
          <w:szCs w:val="44"/>
        </w:rPr>
        <w:t>学科</w:t>
      </w:r>
    </w:p>
    <w:p>
      <w:pPr>
        <w:spacing w:line="64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学术学位硕士</w:t>
      </w:r>
      <w:r>
        <w:rPr>
          <w:rFonts w:ascii="黑体" w:hAnsi="黑体" w:eastAsia="黑体"/>
          <w:sz w:val="44"/>
          <w:szCs w:val="44"/>
        </w:rPr>
        <w:t>研究生培养方案</w:t>
      </w:r>
    </w:p>
    <w:p>
      <w:pPr>
        <w:spacing w:before="120" w:beforeLines="50" w:after="120" w:afterLines="50" w:line="560" w:lineRule="exact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学科代码</w:t>
      </w:r>
      <w:r>
        <w:rPr>
          <w:rFonts w:ascii="黑体" w:hAnsi="黑体" w:eastAsia="黑体"/>
          <w:sz w:val="28"/>
          <w:szCs w:val="28"/>
        </w:rPr>
        <w:t>：</w:t>
      </w:r>
      <w:r>
        <w:rPr>
          <w:rFonts w:hint="eastAsia" w:ascii="黑体" w:hAnsi="黑体" w:eastAsia="黑体"/>
          <w:sz w:val="28"/>
          <w:szCs w:val="28"/>
        </w:rPr>
        <w:t>08</w:t>
      </w:r>
      <w:r>
        <w:rPr>
          <w:rFonts w:ascii="黑体" w:hAnsi="黑体" w:eastAsia="黑体"/>
          <w:sz w:val="28"/>
          <w:szCs w:val="28"/>
        </w:rPr>
        <w:t>16</w:t>
      </w:r>
    </w:p>
    <w:p>
      <w:pPr>
        <w:pStyle w:val="5"/>
        <w:spacing w:before="120" w:beforeLines="50" w:after="120" w:afterLines="50" w:line="560" w:lineRule="exact"/>
        <w:jc w:val="both"/>
        <w:outlineLvl w:val="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一、学科简介</w:t>
      </w:r>
    </w:p>
    <w:p>
      <w:pPr>
        <w:pStyle w:val="5"/>
        <w:spacing w:line="560" w:lineRule="exact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山东理工大学测绘工程专业始建于1960年，2006年获得大地测量学与测量工程二级学科硕士学位授予权，2010年获得测绘科学与技术一级学科硕士学位授予权，2014年获得测绘工程领域专业硕士学位授予权。</w:t>
      </w:r>
    </w:p>
    <w:p>
      <w:pPr>
        <w:pStyle w:val="5"/>
        <w:spacing w:line="560" w:lineRule="exact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03846617"/>
      <w:r>
        <w:rPr>
          <w:rFonts w:ascii="Times New Roman" w:hAnsi="Times New Roman" w:cs="Times New Roman"/>
          <w:sz w:val="28"/>
          <w:szCs w:val="28"/>
        </w:rPr>
        <w:t>学科拥有一支职称、学历、年龄层次合理、知识结构交叉互补的</w:t>
      </w:r>
      <w:r>
        <w:rPr>
          <w:rFonts w:hint="eastAsia" w:ascii="Times New Roman" w:hAnsi="Times New Roman" w:cs="Times New Roman"/>
          <w:sz w:val="28"/>
          <w:szCs w:val="28"/>
          <w:lang w:val="en-US"/>
        </w:rPr>
        <w:t>教师队伍，现有专任教师53人，其中校内专任</w:t>
      </w:r>
      <w:r>
        <w:rPr>
          <w:rFonts w:hint="eastAsia" w:ascii="Times New Roman" w:hAnsi="Times New Roman" w:cs="Times New Roman"/>
          <w:sz w:val="28"/>
          <w:szCs w:val="28"/>
        </w:rPr>
        <w:t>硕士生导师</w:t>
      </w:r>
      <w:r>
        <w:rPr>
          <w:rFonts w:hint="eastAsia" w:ascii="Times New Roman" w:hAnsi="Times New Roman" w:cs="Times New Roman"/>
          <w:sz w:val="28"/>
          <w:szCs w:val="28"/>
          <w:lang w:val="en-US"/>
        </w:rPr>
        <w:t>41</w:t>
      </w:r>
      <w:r>
        <w:rPr>
          <w:rFonts w:hint="eastAsia" w:ascii="Times New Roman" w:hAnsi="Times New Roman" w:cs="Times New Roman"/>
          <w:sz w:val="28"/>
          <w:szCs w:val="28"/>
        </w:rPr>
        <w:t>人。</w:t>
      </w:r>
      <w:r>
        <w:rPr>
          <w:rFonts w:hint="eastAsia" w:ascii="Times New Roman" w:hAnsi="Times New Roman" w:cs="Times New Roman"/>
          <w:sz w:val="28"/>
          <w:szCs w:val="28"/>
          <w:lang w:val="en-US"/>
        </w:rPr>
        <w:t>另聘</w:t>
      </w:r>
      <w:r>
        <w:rPr>
          <w:rFonts w:hint="eastAsia" w:ascii="Times New Roman" w:hAnsi="Times New Roman" w:cs="Times New Roman"/>
          <w:sz w:val="28"/>
          <w:szCs w:val="28"/>
        </w:rPr>
        <w:t>校外合作导师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hint="eastAsia" w:ascii="Times New Roman" w:hAnsi="Times New Roman" w:cs="Times New Roman"/>
          <w:sz w:val="28"/>
          <w:szCs w:val="28"/>
        </w:rPr>
        <w:t>人，导师队伍中教授</w:t>
      </w:r>
      <w:r>
        <w:rPr>
          <w:rFonts w:hint="eastAsia" w:ascii="Times New Roman" w:hAnsi="Times New Roman" w:cs="Times New Roman"/>
          <w:sz w:val="28"/>
          <w:szCs w:val="28"/>
          <w:lang w:val="en-US"/>
        </w:rPr>
        <w:t>12</w:t>
      </w:r>
      <w:r>
        <w:rPr>
          <w:rFonts w:hint="eastAsia" w:ascii="Times New Roman" w:hAnsi="Times New Roman" w:cs="Times New Roman"/>
          <w:sz w:val="28"/>
          <w:szCs w:val="28"/>
        </w:rPr>
        <w:t>人，副教授</w:t>
      </w:r>
      <w:r>
        <w:rPr>
          <w:rFonts w:hint="eastAsia" w:ascii="Times New Roman" w:hAnsi="Times New Roman" w:cs="Times New Roman"/>
          <w:sz w:val="28"/>
          <w:szCs w:val="28"/>
          <w:lang w:val="en-US"/>
        </w:rPr>
        <w:t>22</w:t>
      </w:r>
      <w:r>
        <w:rPr>
          <w:rFonts w:hint="eastAsia" w:ascii="Times New Roman" w:hAnsi="Times New Roman" w:cs="Times New Roman"/>
          <w:sz w:val="28"/>
          <w:szCs w:val="28"/>
        </w:rPr>
        <w:t>人，讲师</w:t>
      </w:r>
      <w:r>
        <w:rPr>
          <w:rFonts w:hint="eastAsia" w:ascii="Times New Roman" w:hAnsi="Times New Roman" w:cs="Times New Roman"/>
          <w:sz w:val="28"/>
          <w:szCs w:val="28"/>
          <w:lang w:val="en-US"/>
        </w:rPr>
        <w:t>12</w:t>
      </w:r>
      <w:r>
        <w:rPr>
          <w:rFonts w:hint="eastAsia" w:ascii="Times New Roman" w:hAnsi="Times New Roman" w:cs="Times New Roman"/>
          <w:sz w:val="28"/>
          <w:szCs w:val="28"/>
        </w:rPr>
        <w:t>人，具有博士学位人数</w:t>
      </w:r>
      <w:r>
        <w:rPr>
          <w:rFonts w:hint="eastAsia" w:ascii="Times New Roman" w:hAnsi="Times New Roman" w:cs="Times New Roman"/>
          <w:sz w:val="28"/>
          <w:szCs w:val="28"/>
          <w:lang w:val="en-US"/>
        </w:rPr>
        <w:t>40</w:t>
      </w:r>
      <w:r>
        <w:rPr>
          <w:rFonts w:hint="eastAsia" w:ascii="Times New Roman" w:hAnsi="Times New Roman" w:cs="Times New Roman"/>
          <w:sz w:val="28"/>
          <w:szCs w:val="28"/>
        </w:rPr>
        <w:t>人。</w:t>
      </w:r>
      <w:r>
        <w:rPr>
          <w:rFonts w:ascii="Times New Roman" w:hAnsi="Times New Roman" w:cs="Times New Roman"/>
          <w:sz w:val="28"/>
          <w:szCs w:val="28"/>
        </w:rPr>
        <w:t>拥有教育部测绘学科教学指导委员会、中国测绘地理信息学会教学指导委员会</w:t>
      </w:r>
      <w:r>
        <w:rPr>
          <w:rFonts w:hint="eastAsia" w:ascii="Times New Roman" w:hAnsi="Times New Roman" w:cs="Times New Roman"/>
          <w:sz w:val="28"/>
          <w:szCs w:val="28"/>
        </w:rPr>
        <w:t>委员</w:t>
      </w:r>
      <w:r>
        <w:rPr>
          <w:rFonts w:ascii="Times New Roman" w:hAnsi="Times New Roman" w:cs="Times New Roman"/>
          <w:sz w:val="28"/>
          <w:szCs w:val="28"/>
        </w:rPr>
        <w:t>各1人。</w:t>
      </w:r>
    </w:p>
    <w:bookmarkEnd w:id="0"/>
    <w:p>
      <w:pPr>
        <w:pStyle w:val="5"/>
        <w:spacing w:line="560" w:lineRule="exact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学位点目前有拥有山东省基础地理空间信息技术研究中心、山东省精密工程测量重点实验室、山东省高等学校特色实验室“黄河流域水沙调控机制与泥沙资源绿色利用实验室”3个省级科研平台。国家高分辨率对地观测系统山东省淄博市数据与应用中心</w:t>
      </w:r>
      <w:r>
        <w:rPr>
          <w:rFonts w:hint="eastAsia" w:ascii="Times New Roman" w:hAnsi="Times New Roman" w:cs="Times New Roman"/>
          <w:sz w:val="28"/>
          <w:szCs w:val="28"/>
          <w:lang w:val="en-US"/>
        </w:rPr>
        <w:t>和淄博市遥感信息服务与时空智能计算重点实验室2</w:t>
      </w:r>
      <w:r>
        <w:rPr>
          <w:rFonts w:hint="eastAsia" w:ascii="Times New Roman" w:hAnsi="Times New Roman" w:cs="Times New Roman"/>
          <w:sz w:val="28"/>
          <w:szCs w:val="28"/>
        </w:rPr>
        <w:t>个省市级科研教学平台；国家地壳网络观测站</w:t>
      </w:r>
      <w:r>
        <w:rPr>
          <w:rFonts w:ascii="Times New Roman" w:hAnsi="Times New Roman" w:cs="Times New Roman"/>
          <w:sz w:val="28"/>
          <w:szCs w:val="28"/>
        </w:rPr>
        <w:t>1个；山东省骨干学科实验教学中心1个，下设工业测量、精密工程测量、摄影测量与遥感和GNSS定</w:t>
      </w:r>
      <w:r>
        <w:rPr>
          <w:rFonts w:hint="eastAsia" w:ascii="Times New Roman" w:hAnsi="Times New Roman" w:cs="Times New Roman"/>
          <w:sz w:val="28"/>
          <w:szCs w:val="28"/>
        </w:rPr>
        <w:t>位</w:t>
      </w:r>
      <w:r>
        <w:rPr>
          <w:rFonts w:ascii="Times New Roman" w:hAnsi="Times New Roman" w:cs="Times New Roman"/>
          <w:sz w:val="28"/>
          <w:szCs w:val="28"/>
        </w:rPr>
        <w:t>四个专业实验室；卫星定位及空间信息研究中心、地理信息工程研究所和智慧水文技术应用研究中心3个校级</w:t>
      </w:r>
      <w:r>
        <w:rPr>
          <w:rFonts w:hint="eastAsia" w:ascii="Times New Roman" w:hAnsi="Times New Roman" w:cs="Times New Roman"/>
          <w:sz w:val="28"/>
          <w:szCs w:val="28"/>
        </w:rPr>
        <w:t>科研</w:t>
      </w:r>
      <w:r>
        <w:rPr>
          <w:rFonts w:ascii="Times New Roman" w:hAnsi="Times New Roman" w:cs="Times New Roman"/>
          <w:sz w:val="28"/>
          <w:szCs w:val="28"/>
        </w:rPr>
        <w:t>机构。</w:t>
      </w:r>
    </w:p>
    <w:p>
      <w:pPr>
        <w:pStyle w:val="5"/>
        <w:spacing w:line="560" w:lineRule="exact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近5年</w:t>
      </w:r>
      <w:r>
        <w:rPr>
          <w:rFonts w:hint="eastAsia" w:ascii="Times New Roman" w:hAnsi="Times New Roman" w:cs="Times New Roman"/>
          <w:sz w:val="28"/>
          <w:szCs w:val="28"/>
        </w:rPr>
        <w:t>，承担</w:t>
      </w:r>
      <w:r>
        <w:rPr>
          <w:rFonts w:ascii="Times New Roman" w:hAnsi="Times New Roman" w:cs="Times New Roman"/>
          <w:sz w:val="28"/>
          <w:szCs w:val="28"/>
        </w:rPr>
        <w:t>国家级</w:t>
      </w:r>
      <w:r>
        <w:rPr>
          <w:rFonts w:hint="eastAsia" w:ascii="Times New Roman" w:hAnsi="Times New Roman" w:cs="Times New Roman"/>
          <w:sz w:val="28"/>
          <w:szCs w:val="28"/>
        </w:rPr>
        <w:t>纵向科研</w:t>
      </w:r>
      <w:r>
        <w:rPr>
          <w:rFonts w:ascii="Times New Roman" w:hAnsi="Times New Roman" w:cs="Times New Roman"/>
          <w:sz w:val="28"/>
          <w:szCs w:val="28"/>
        </w:rPr>
        <w:t>项目</w:t>
      </w:r>
      <w:r>
        <w:rPr>
          <w:rFonts w:hint="eastAsia" w:ascii="Times New Roman" w:hAnsi="Times New Roman" w:cs="Times New Roman"/>
          <w:sz w:val="28"/>
          <w:szCs w:val="28"/>
          <w:lang w:val="en-US"/>
        </w:rPr>
        <w:t>14</w:t>
      </w:r>
      <w:r>
        <w:rPr>
          <w:rFonts w:ascii="Times New Roman" w:hAnsi="Times New Roman" w:cs="Times New Roman"/>
          <w:sz w:val="28"/>
          <w:szCs w:val="28"/>
        </w:rPr>
        <w:t>项，省部级</w:t>
      </w:r>
      <w:r>
        <w:rPr>
          <w:rFonts w:hint="eastAsia" w:ascii="Times New Roman" w:hAnsi="Times New Roman" w:cs="Times New Roman"/>
          <w:sz w:val="28"/>
          <w:szCs w:val="28"/>
        </w:rPr>
        <w:t>纵向科研</w:t>
      </w:r>
      <w:r>
        <w:rPr>
          <w:rFonts w:ascii="Times New Roman" w:hAnsi="Times New Roman" w:cs="Times New Roman"/>
          <w:sz w:val="28"/>
          <w:szCs w:val="28"/>
        </w:rPr>
        <w:t>项目</w:t>
      </w:r>
      <w:r>
        <w:rPr>
          <w:rFonts w:hint="eastAsia" w:ascii="Times New Roman" w:hAnsi="Times New Roman" w:cs="Times New Roman"/>
          <w:sz w:val="28"/>
          <w:szCs w:val="28"/>
          <w:lang w:val="en-US"/>
        </w:rPr>
        <w:t>25</w:t>
      </w:r>
      <w:r>
        <w:rPr>
          <w:rFonts w:ascii="Times New Roman" w:hAnsi="Times New Roman" w:cs="Times New Roman"/>
          <w:sz w:val="28"/>
          <w:szCs w:val="28"/>
        </w:rPr>
        <w:t>项，地厅级</w:t>
      </w:r>
      <w:r>
        <w:rPr>
          <w:rFonts w:hint="eastAsia" w:ascii="Times New Roman" w:hAnsi="Times New Roman" w:cs="Times New Roman"/>
          <w:sz w:val="28"/>
          <w:szCs w:val="28"/>
        </w:rPr>
        <w:t>纵向科研</w:t>
      </w:r>
      <w:r>
        <w:rPr>
          <w:rFonts w:ascii="Times New Roman" w:hAnsi="Times New Roman" w:cs="Times New Roman"/>
          <w:sz w:val="28"/>
          <w:szCs w:val="28"/>
        </w:rPr>
        <w:t>30</w:t>
      </w:r>
      <w:r>
        <w:rPr>
          <w:rFonts w:hint="eastAsia" w:ascii="Times New Roman" w:hAnsi="Times New Roman" w:cs="Times New Roman"/>
          <w:sz w:val="28"/>
          <w:szCs w:val="28"/>
        </w:rPr>
        <w:t>余</w:t>
      </w:r>
      <w:r>
        <w:rPr>
          <w:rFonts w:ascii="Times New Roman" w:hAnsi="Times New Roman" w:cs="Times New Roman"/>
          <w:sz w:val="28"/>
          <w:szCs w:val="28"/>
        </w:rPr>
        <w:t>项</w:t>
      </w:r>
      <w:r>
        <w:rPr>
          <w:rFonts w:hint="eastAsia" w:ascii="Times New Roman" w:hAnsi="Times New Roman" w:cs="Times New Roman"/>
          <w:sz w:val="28"/>
          <w:szCs w:val="28"/>
        </w:rPr>
        <w:t>，承担</w:t>
      </w:r>
      <w:r>
        <w:rPr>
          <w:rFonts w:ascii="Times New Roman" w:hAnsi="Times New Roman" w:cs="Times New Roman"/>
          <w:sz w:val="28"/>
          <w:szCs w:val="28"/>
        </w:rPr>
        <w:t>横向项目</w:t>
      </w:r>
      <w:r>
        <w:rPr>
          <w:rFonts w:hint="eastAsia" w:ascii="Times New Roman" w:hAnsi="Times New Roman" w:cs="Times New Roman"/>
          <w:sz w:val="28"/>
          <w:szCs w:val="28"/>
          <w:lang w:val="en-US"/>
        </w:rPr>
        <w:t>100余</w:t>
      </w:r>
      <w:r>
        <w:rPr>
          <w:rFonts w:ascii="Times New Roman" w:hAnsi="Times New Roman" w:cs="Times New Roman"/>
          <w:sz w:val="28"/>
          <w:szCs w:val="28"/>
        </w:rPr>
        <w:t>项</w:t>
      </w:r>
      <w:r>
        <w:rPr>
          <w:rFonts w:hint="eastAsia" w:ascii="Times New Roman" w:hAnsi="Times New Roman" w:cs="Times New Roman"/>
          <w:sz w:val="28"/>
          <w:szCs w:val="28"/>
        </w:rPr>
        <w:t>，发表学术论文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hint="eastAsia" w:ascii="Times New Roman" w:hAnsi="Times New Roman" w:cs="Times New Roman"/>
          <w:sz w:val="28"/>
          <w:szCs w:val="28"/>
          <w:lang w:val="en-US"/>
        </w:rPr>
        <w:t>50</w:t>
      </w:r>
      <w:r>
        <w:rPr>
          <w:rFonts w:hint="eastAsia" w:ascii="Times New Roman" w:hAnsi="Times New Roman" w:cs="Times New Roman"/>
          <w:sz w:val="28"/>
          <w:szCs w:val="28"/>
        </w:rPr>
        <w:t>余</w:t>
      </w:r>
      <w:r>
        <w:rPr>
          <w:rFonts w:ascii="Times New Roman" w:hAnsi="Times New Roman" w:cs="Times New Roman"/>
          <w:sz w:val="28"/>
          <w:szCs w:val="28"/>
        </w:rPr>
        <w:t>篇，其中SCI、EI检索论文1</w:t>
      </w:r>
      <w:r>
        <w:rPr>
          <w:rFonts w:hint="eastAsia" w:ascii="Times New Roman" w:hAnsi="Times New Roman" w:cs="Times New Roman"/>
          <w:sz w:val="28"/>
          <w:szCs w:val="28"/>
          <w:lang w:val="en-US"/>
        </w:rPr>
        <w:t>10余</w:t>
      </w:r>
      <w:r>
        <w:rPr>
          <w:rFonts w:ascii="Times New Roman" w:hAnsi="Times New Roman" w:cs="Times New Roman"/>
          <w:sz w:val="28"/>
          <w:szCs w:val="28"/>
        </w:rPr>
        <w:t>篇，出版专著教材6部，授权专利13</w:t>
      </w:r>
      <w:r>
        <w:rPr>
          <w:rFonts w:hint="eastAsia" w:ascii="Times New Roman" w:hAnsi="Times New Roman" w:cs="Times New Roman"/>
          <w:sz w:val="28"/>
          <w:szCs w:val="28"/>
        </w:rPr>
        <w:t>项</w:t>
      </w:r>
      <w:r>
        <w:rPr>
          <w:rFonts w:ascii="Times New Roman" w:hAnsi="Times New Roman" w:cs="Times New Roman"/>
          <w:sz w:val="28"/>
          <w:szCs w:val="28"/>
        </w:rPr>
        <w:t>。</w:t>
      </w:r>
    </w:p>
    <w:p>
      <w:pPr>
        <w:pStyle w:val="5"/>
        <w:spacing w:line="560" w:lineRule="exact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近3年，</w:t>
      </w:r>
      <w:r>
        <w:rPr>
          <w:rFonts w:ascii="Times New Roman" w:hAnsi="Times New Roman" w:cs="Times New Roman"/>
          <w:sz w:val="28"/>
          <w:szCs w:val="28"/>
        </w:rPr>
        <w:t>毕业研究生年度一次就业率均为100%，其中</w:t>
      </w:r>
      <w:r>
        <w:rPr>
          <w:rFonts w:hint="eastAsia" w:ascii="Times New Roman" w:hAnsi="Times New Roman" w:cs="Times New Roman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考博率30%，从事本专业或相关专业工作</w:t>
      </w:r>
      <w:r>
        <w:rPr>
          <w:rFonts w:hint="eastAsia" w:ascii="Times New Roman" w:hAnsi="Times New Roman" w:cs="Times New Roman"/>
          <w:sz w:val="28"/>
          <w:szCs w:val="28"/>
        </w:rPr>
        <w:t>占比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hint="eastAsia" w:ascii="Times New Roman" w:hAnsi="Times New Roman" w:cs="Times New Roman"/>
          <w:sz w:val="28"/>
          <w:szCs w:val="28"/>
          <w:lang w:val="en-US"/>
        </w:rPr>
        <w:t>6.3</w:t>
      </w:r>
      <w:r>
        <w:rPr>
          <w:rFonts w:ascii="Times New Roman" w:hAnsi="Times New Roman" w:cs="Times New Roman"/>
          <w:sz w:val="28"/>
          <w:szCs w:val="28"/>
        </w:rPr>
        <w:t>%，毕业生分布在全国测绘、地理信息、遥感等行业知名企</w:t>
      </w:r>
      <w:r>
        <w:rPr>
          <w:rFonts w:hint="eastAsia" w:ascii="Times New Roman" w:hAnsi="Times New Roman" w:cs="Times New Roman"/>
          <w:sz w:val="28"/>
          <w:szCs w:val="28"/>
        </w:rPr>
        <w:t>事</w:t>
      </w:r>
      <w:r>
        <w:rPr>
          <w:rFonts w:ascii="Times New Roman" w:hAnsi="Times New Roman" w:cs="Times New Roman"/>
          <w:sz w:val="28"/>
          <w:szCs w:val="28"/>
        </w:rPr>
        <w:t>业</w:t>
      </w:r>
      <w:r>
        <w:rPr>
          <w:rFonts w:hint="eastAsia" w:ascii="Times New Roman" w:hAnsi="Times New Roman" w:cs="Times New Roman"/>
          <w:sz w:val="28"/>
          <w:szCs w:val="28"/>
        </w:rPr>
        <w:t>单位</w:t>
      </w:r>
      <w:r>
        <w:rPr>
          <w:rFonts w:ascii="Times New Roman" w:hAnsi="Times New Roman" w:cs="Times New Roman"/>
          <w:sz w:val="28"/>
          <w:szCs w:val="28"/>
        </w:rPr>
        <w:t>。国际合作交流方面，与澳大利亚ADELAIDE大学、UNSW Sydney大学以及美国George Mason大学在基于遥感与GIS的低碳城市规划设计、微波遥感与光学遥感融合等方向进行了合作交流。</w:t>
      </w:r>
    </w:p>
    <w:p>
      <w:pPr>
        <w:pStyle w:val="5"/>
        <w:spacing w:line="560" w:lineRule="exact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学位点致力于现代大地测量与数据处理、数字摄影测量、资源环境遥感、GIS理论与应用等</w:t>
      </w:r>
      <w:r>
        <w:rPr>
          <w:rFonts w:hint="eastAsia" w:ascii="Times New Roman" w:hAnsi="Times New Roman" w:cs="Times New Roman"/>
          <w:sz w:val="28"/>
          <w:szCs w:val="28"/>
        </w:rPr>
        <w:t>方向</w:t>
      </w:r>
      <w:r>
        <w:rPr>
          <w:rFonts w:ascii="Times New Roman" w:hAnsi="Times New Roman" w:cs="Times New Roman"/>
          <w:sz w:val="28"/>
          <w:szCs w:val="28"/>
        </w:rPr>
        <w:t>的研究，其中在低空摄影测量和高性能GIS计算方面形成了特色与优势</w:t>
      </w:r>
      <w:r>
        <w:rPr>
          <w:rFonts w:hint="eastAsia" w:ascii="Times New Roman" w:hAnsi="Times New Roman" w:cs="Times New Roman"/>
          <w:sz w:val="28"/>
          <w:szCs w:val="28"/>
        </w:rPr>
        <w:t>，为山东省新旧动能转化、黄河流域高质量发展、地理国情监测和智慧城市建设等领域提供了技术支撑。</w:t>
      </w:r>
    </w:p>
    <w:p>
      <w:pPr>
        <w:pStyle w:val="5"/>
        <w:spacing w:before="120" w:beforeLines="50" w:after="120" w:afterLines="50" w:line="560" w:lineRule="exact"/>
        <w:jc w:val="both"/>
        <w:outlineLvl w:val="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二、培养目标</w:t>
      </w:r>
    </w:p>
    <w:p>
      <w:pPr>
        <w:pStyle w:val="5"/>
        <w:spacing w:line="560" w:lineRule="exact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立足国家战略和区域经济发展，面向测绘</w:t>
      </w:r>
      <w:r>
        <w:rPr>
          <w:rFonts w:hint="eastAsia" w:ascii="Times New Roman" w:hAnsi="Times New Roman" w:cs="Times New Roman"/>
          <w:sz w:val="28"/>
          <w:szCs w:val="28"/>
        </w:rPr>
        <w:t>和地理信息等</w:t>
      </w:r>
      <w:r>
        <w:rPr>
          <w:rFonts w:ascii="Times New Roman" w:hAnsi="Times New Roman" w:cs="Times New Roman"/>
          <w:sz w:val="28"/>
          <w:szCs w:val="28"/>
        </w:rPr>
        <w:t>领域，培养基础理论扎实、创新实践能力强，具有良好的人文素养、职业道德和开阔的国际视野，能够独立从事测绘领域基础理论研究、技术开发与管理的复合型高级专业人才。</w:t>
      </w:r>
    </w:p>
    <w:p>
      <w:pPr>
        <w:pStyle w:val="5"/>
        <w:spacing w:line="560" w:lineRule="exact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hint="eastAsia" w:ascii="Times New Roman" w:hAnsi="Times New Roman" w:cs="Times New Roman"/>
          <w:sz w:val="28"/>
          <w:szCs w:val="28"/>
        </w:rPr>
        <w:t>掌握马克思主义、毛泽东思想、邓小平理论、“三个代表”重要思想、科学发展观和习近平新时代中国特色社会主义的基本原理，热爱祖国、热爱人民、坚持中国共产党的领导，维护国家利益；具有严谨、求实、创新的科学作风和良好的学术道德，</w:t>
      </w:r>
      <w:r>
        <w:rPr>
          <w:rFonts w:ascii="Times New Roman" w:hAnsi="Times New Roman" w:cs="Times New Roman"/>
          <w:sz w:val="28"/>
          <w:szCs w:val="28"/>
        </w:rPr>
        <w:t>科学严谨、求真务实的治学态度</w:t>
      </w:r>
      <w:r>
        <w:rPr>
          <w:rFonts w:hint="eastAsia" w:ascii="Times New Roman" w:hAnsi="Times New Roman" w:cs="Times New Roman"/>
          <w:sz w:val="28"/>
          <w:szCs w:val="28"/>
        </w:rPr>
        <w:t>，有社会责任感。</w:t>
      </w:r>
    </w:p>
    <w:p>
      <w:pPr>
        <w:pStyle w:val="5"/>
        <w:spacing w:line="560" w:lineRule="exact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具有测绘科学与技术学科扎实的理论基础、系统的专业知识和熟练的专业技能。掌握空间大地测量理论与技术、精密工程测量、GNSS定位与导航、数字摄影测量、遥感图像处理、地理信息系统工程等基本理论、技术和方法，具备较强科学研究和技术研发的能力。</w:t>
      </w:r>
    </w:p>
    <w:p>
      <w:pPr>
        <w:pStyle w:val="5"/>
        <w:spacing w:line="560" w:lineRule="exact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3.比较熟练地掌握一门外国语，能顺利阅读本学科领域的科技资料及文献，并具备一定的听、说和写作能力；掌握一门计算机语言，能够熟练运用计算机从事工程数据处理与系统研发。</w:t>
      </w:r>
    </w:p>
    <w:p>
      <w:pPr>
        <w:pStyle w:val="5"/>
        <w:spacing w:line="560" w:lineRule="exact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4.熟悉学科发展前沿和动态，能够在测绘地理信息、国土资源、交通、城建、规划、水利等领域及部门从事测绘相关领域的科学研究</w:t>
      </w:r>
      <w:r>
        <w:rPr>
          <w:rFonts w:hint="eastAsia" w:ascii="Times New Roman" w:hAnsi="Times New Roman" w:cs="Times New Roman"/>
          <w:sz w:val="28"/>
          <w:szCs w:val="28"/>
        </w:rPr>
        <w:t>、</w:t>
      </w:r>
      <w:r>
        <w:rPr>
          <w:rFonts w:ascii="Times New Roman" w:hAnsi="Times New Roman" w:cs="Times New Roman"/>
          <w:sz w:val="28"/>
          <w:szCs w:val="28"/>
        </w:rPr>
        <w:t>工程设计、实施和管理</w:t>
      </w:r>
      <w:r>
        <w:rPr>
          <w:rFonts w:hint="eastAsia" w:ascii="Times New Roman" w:hAnsi="Times New Roman" w:cs="Times New Roman"/>
          <w:sz w:val="28"/>
          <w:szCs w:val="28"/>
        </w:rPr>
        <w:t>、</w:t>
      </w:r>
      <w:r>
        <w:rPr>
          <w:rFonts w:ascii="Times New Roman" w:hAnsi="Times New Roman" w:cs="Times New Roman"/>
          <w:sz w:val="28"/>
          <w:szCs w:val="28"/>
        </w:rPr>
        <w:t>系统开发</w:t>
      </w:r>
      <w:r>
        <w:rPr>
          <w:rFonts w:hint="eastAsia" w:ascii="Times New Roman" w:hAnsi="Times New Roman" w:cs="Times New Roman"/>
          <w:sz w:val="28"/>
          <w:szCs w:val="28"/>
        </w:rPr>
        <w:t>以及科研</w:t>
      </w:r>
      <w:r>
        <w:rPr>
          <w:rFonts w:ascii="Times New Roman" w:hAnsi="Times New Roman" w:cs="Times New Roman"/>
          <w:sz w:val="28"/>
          <w:szCs w:val="28"/>
        </w:rPr>
        <w:t>教学等工作。</w:t>
      </w:r>
    </w:p>
    <w:p>
      <w:pPr>
        <w:pStyle w:val="5"/>
        <w:spacing w:before="120" w:beforeLines="50" w:after="120" w:afterLines="50" w:line="560" w:lineRule="exact"/>
        <w:jc w:val="both"/>
        <w:outlineLvl w:val="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三、研究方向</w:t>
      </w:r>
    </w:p>
    <w:p>
      <w:pPr>
        <w:pStyle w:val="5"/>
        <w:spacing w:line="560" w:lineRule="exact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测绘科学与技术（一级学科）学术硕士学位研究生培养方案设以下4个研究方向：</w:t>
      </w:r>
    </w:p>
    <w:p>
      <w:pPr>
        <w:pStyle w:val="5"/>
        <w:spacing w:line="560" w:lineRule="exact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1.现代大地测量与数据处理</w:t>
      </w:r>
      <w:r>
        <w:rPr>
          <w:rFonts w:hint="eastAsia" w:ascii="Times New Roman" w:hAnsi="Times New Roman" w:cs="Times New Roman"/>
          <w:sz w:val="28"/>
          <w:szCs w:val="28"/>
        </w:rPr>
        <w:t>；</w:t>
      </w:r>
    </w:p>
    <w:p>
      <w:pPr>
        <w:pStyle w:val="5"/>
        <w:spacing w:line="560" w:lineRule="exact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2.数字摄影测量</w:t>
      </w:r>
      <w:r>
        <w:rPr>
          <w:rFonts w:hint="eastAsia" w:ascii="Times New Roman" w:hAnsi="Times New Roman" w:cs="Times New Roman"/>
          <w:sz w:val="28"/>
          <w:szCs w:val="28"/>
        </w:rPr>
        <w:t>；</w:t>
      </w:r>
    </w:p>
    <w:p>
      <w:pPr>
        <w:pStyle w:val="5"/>
        <w:spacing w:line="560" w:lineRule="exact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3.资源环境遥感</w:t>
      </w:r>
      <w:r>
        <w:rPr>
          <w:rFonts w:hint="eastAsia" w:ascii="Times New Roman" w:hAnsi="Times New Roman" w:cs="Times New Roman"/>
          <w:sz w:val="28"/>
          <w:szCs w:val="28"/>
        </w:rPr>
        <w:t>；</w:t>
      </w:r>
    </w:p>
    <w:p>
      <w:pPr>
        <w:pStyle w:val="5"/>
        <w:spacing w:line="560" w:lineRule="exact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4.GIS理论与应用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>
      <w:pPr>
        <w:pStyle w:val="5"/>
        <w:spacing w:line="560" w:lineRule="exact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研究方向简介见附表1。</w:t>
      </w:r>
    </w:p>
    <w:p>
      <w:pPr>
        <w:pStyle w:val="5"/>
        <w:spacing w:before="120" w:beforeLines="50" w:after="120" w:afterLines="50" w:line="560" w:lineRule="exact"/>
        <w:jc w:val="both"/>
        <w:outlineLvl w:val="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四、学习年限</w:t>
      </w:r>
    </w:p>
    <w:p>
      <w:pPr>
        <w:pStyle w:val="5"/>
        <w:spacing w:line="560" w:lineRule="exact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基本学制</w:t>
      </w:r>
      <w:r>
        <w:rPr>
          <w:rFonts w:ascii="Times New Roman" w:hAnsi="Times New Roman" w:cs="Times New Roman"/>
          <w:sz w:val="28"/>
          <w:szCs w:val="28"/>
        </w:rPr>
        <w:t>3年，学习年限为2-4年，其中从事科学研究及论文撰写的时间不少于1年（自开题通过之日至答辩前）。对于优秀的学生，经个人申请、导师同意后，可以申请提前毕业，但从事科学研究及论文撰写的时间仍不得少于1年，且总学习年限不少于2年。对于缓期毕业的学习，其总学习年限不得超过4年。涉及休学的学生，休学期间不计入学习年限，但总学</w:t>
      </w:r>
      <w:r>
        <w:rPr>
          <w:rFonts w:hint="eastAsia" w:ascii="Times New Roman" w:hAnsi="Times New Roman" w:cs="Times New Roman"/>
          <w:sz w:val="28"/>
          <w:szCs w:val="28"/>
        </w:rPr>
        <w:t>习</w:t>
      </w:r>
      <w:r>
        <w:rPr>
          <w:rFonts w:ascii="Times New Roman" w:hAnsi="Times New Roman" w:cs="Times New Roman"/>
          <w:sz w:val="28"/>
          <w:szCs w:val="28"/>
        </w:rPr>
        <w:t>年限不得于超过5年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>
      <w:pPr>
        <w:pStyle w:val="5"/>
        <w:spacing w:before="120" w:beforeLines="50" w:after="120" w:afterLines="50" w:line="560" w:lineRule="exact"/>
        <w:jc w:val="both"/>
        <w:outlineLvl w:val="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五、课程设置与学分要求</w:t>
      </w:r>
    </w:p>
    <w:p>
      <w:pPr>
        <w:pStyle w:val="5"/>
        <w:spacing w:line="560" w:lineRule="exact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课程分为必修课、学科方向限选课和选修课。规定至少修满</w:t>
      </w:r>
      <w:r>
        <w:rPr>
          <w:rFonts w:ascii="Times New Roman" w:hAnsi="Times New Roman" w:cs="Times New Roman"/>
          <w:sz w:val="28"/>
          <w:szCs w:val="28"/>
        </w:rPr>
        <w:t>34.5总分，其中必修学分不低于19.5</w:t>
      </w:r>
      <w:r>
        <w:rPr>
          <w:rFonts w:hint="eastAsia" w:ascii="Times New Roman" w:hAnsi="Times New Roman" w:cs="Times New Roman"/>
          <w:sz w:val="28"/>
          <w:szCs w:val="28"/>
        </w:rPr>
        <w:t>个</w:t>
      </w:r>
      <w:r>
        <w:rPr>
          <w:rFonts w:ascii="Times New Roman" w:hAnsi="Times New Roman" w:cs="Times New Roman"/>
          <w:sz w:val="28"/>
          <w:szCs w:val="28"/>
        </w:rPr>
        <w:t>学分，选修学分不低于9</w:t>
      </w:r>
      <w:r>
        <w:rPr>
          <w:rFonts w:hint="eastAsia" w:ascii="Times New Roman" w:hAnsi="Times New Roman" w:cs="Times New Roman"/>
          <w:sz w:val="28"/>
          <w:szCs w:val="28"/>
        </w:rPr>
        <w:t>个</w:t>
      </w:r>
      <w:r>
        <w:rPr>
          <w:rFonts w:ascii="Times New Roman" w:hAnsi="Times New Roman" w:cs="Times New Roman"/>
          <w:sz w:val="28"/>
          <w:szCs w:val="28"/>
        </w:rPr>
        <w:t>学分，且需符合学科方向限选要求</w:t>
      </w:r>
      <w:r>
        <w:rPr>
          <w:rFonts w:hint="eastAsia" w:ascii="Times New Roman" w:hAnsi="Times New Roman" w:cs="Times New Roman"/>
          <w:sz w:val="28"/>
          <w:szCs w:val="28"/>
        </w:rPr>
        <w:t>，其他培养环节6个学分</w:t>
      </w:r>
      <w:r>
        <w:rPr>
          <w:rFonts w:ascii="Times New Roman" w:hAnsi="Times New Roman" w:cs="Times New Roman"/>
          <w:sz w:val="28"/>
          <w:szCs w:val="28"/>
        </w:rPr>
        <w:t>。</w:t>
      </w:r>
      <w:bookmarkStart w:id="1" w:name="_Hlk103850836"/>
      <w:r>
        <w:rPr>
          <w:rFonts w:hint="eastAsia" w:ascii="Times New Roman" w:hAnsi="Times New Roman" w:cs="Times New Roman"/>
          <w:sz w:val="28"/>
          <w:szCs w:val="28"/>
        </w:rPr>
        <w:t>跨学科攻读学位研究生需根据导师要求补修</w:t>
      </w:r>
      <w:r>
        <w:rPr>
          <w:rFonts w:ascii="Times New Roman" w:hAnsi="Times New Roman" w:cs="Times New Roman"/>
          <w:sz w:val="28"/>
          <w:szCs w:val="28"/>
        </w:rPr>
        <w:t>2门及以上专业基础课程</w:t>
      </w:r>
      <w:r>
        <w:rPr>
          <w:rFonts w:hint="eastAsia" w:ascii="Times New Roman" w:hAnsi="Times New Roman" w:cs="Times New Roman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考核合格后方可参与开题，</w:t>
      </w:r>
      <w:r>
        <w:rPr>
          <w:rFonts w:hint="eastAsia" w:ascii="Times New Roman" w:hAnsi="Times New Roman" w:cs="Times New Roman"/>
          <w:sz w:val="28"/>
          <w:szCs w:val="28"/>
        </w:rPr>
        <w:t>补修成绩计入研究生成绩单，但不计入研究生阶段规定必修的学分中。</w:t>
      </w:r>
      <w:bookmarkEnd w:id="1"/>
    </w:p>
    <w:p>
      <w:pPr>
        <w:pStyle w:val="5"/>
        <w:spacing w:line="560" w:lineRule="exact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课程设置情况见附表2。</w:t>
      </w:r>
    </w:p>
    <w:p>
      <w:pPr>
        <w:pStyle w:val="5"/>
        <w:spacing w:before="120" w:beforeLines="50" w:after="120" w:afterLines="50" w:line="560" w:lineRule="exact"/>
        <w:jc w:val="both"/>
        <w:outlineLvl w:val="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六、培养方式与培养环节</w:t>
      </w:r>
    </w:p>
    <w:p>
      <w:pPr>
        <w:pStyle w:val="5"/>
        <w:spacing w:line="560" w:lineRule="exact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学术学位硕士研究生培养实行导师负责制，鼓励实行以导师负责为主的指导小组（团队）制。导师负责制订研究生培养计划，</w:t>
      </w:r>
      <w:r>
        <w:rPr>
          <w:rFonts w:hint="eastAsia" w:ascii="Times New Roman" w:hAnsi="Times New Roman" w:cs="Times New Roman"/>
          <w:sz w:val="28"/>
          <w:szCs w:val="28"/>
        </w:rPr>
        <w:t>组织开题、中期考核、答辩，指导科学研究和学位论文等工作，</w:t>
      </w:r>
      <w:r>
        <w:rPr>
          <w:rFonts w:ascii="Times New Roman" w:hAnsi="Times New Roman" w:cs="Times New Roman"/>
          <w:sz w:val="28"/>
          <w:szCs w:val="28"/>
        </w:rPr>
        <w:t>且对研究生的思想品德、学术道德有引导、示范和监督的责任。</w:t>
      </w:r>
    </w:p>
    <w:p>
      <w:pPr>
        <w:spacing w:line="560" w:lineRule="exact"/>
        <w:ind w:firstLine="562" w:firstLineChars="2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1.开题报告</w:t>
      </w:r>
    </w:p>
    <w:p>
      <w:pPr>
        <w:pStyle w:val="5"/>
        <w:spacing w:line="560" w:lineRule="exact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03850877"/>
      <w:r>
        <w:rPr>
          <w:rFonts w:ascii="Times New Roman" w:hAnsi="Times New Roman" w:cs="Times New Roman"/>
          <w:sz w:val="28"/>
          <w:szCs w:val="28"/>
        </w:rPr>
        <w:t>为确保学位论文的质量，研究生应通过文献阅读、学术调研，确定论文选题和研究内容，经导师同意后提交开题报告。由本学科</w:t>
      </w:r>
      <w:r>
        <w:rPr>
          <w:rFonts w:hint="eastAsia" w:ascii="Times New Roman" w:hAnsi="Times New Roman" w:cs="Times New Roman"/>
          <w:sz w:val="28"/>
          <w:szCs w:val="28"/>
        </w:rPr>
        <w:t>领域</w:t>
      </w:r>
      <w:r>
        <w:rPr>
          <w:rFonts w:ascii="Times New Roman" w:hAnsi="Times New Roman" w:cs="Times New Roman"/>
          <w:sz w:val="28"/>
          <w:szCs w:val="28"/>
        </w:rPr>
        <w:t>5人及以上专家组成评审小组对学生</w:t>
      </w:r>
      <w:r>
        <w:rPr>
          <w:rFonts w:hint="eastAsia" w:ascii="Times New Roman" w:hAnsi="Times New Roman" w:cs="Times New Roman"/>
          <w:sz w:val="28"/>
          <w:szCs w:val="28"/>
        </w:rPr>
        <w:t>开题汇报</w:t>
      </w:r>
      <w:r>
        <w:rPr>
          <w:rFonts w:ascii="Times New Roman" w:hAnsi="Times New Roman" w:cs="Times New Roman"/>
          <w:sz w:val="28"/>
          <w:szCs w:val="28"/>
        </w:rPr>
        <w:t>进行评审，提出评价和修改意见，不通过者可限期重做，仍不通过者终止培养</w:t>
      </w:r>
      <w:bookmarkEnd w:id="2"/>
      <w:r>
        <w:rPr>
          <w:rFonts w:ascii="Times New Roman" w:hAnsi="Times New Roman" w:cs="Times New Roman"/>
          <w:sz w:val="28"/>
          <w:szCs w:val="28"/>
        </w:rPr>
        <w:t>。</w:t>
      </w:r>
    </w:p>
    <w:p>
      <w:pPr>
        <w:spacing w:line="560" w:lineRule="exact"/>
        <w:ind w:firstLine="562" w:firstLineChars="2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.中期筛选</w:t>
      </w:r>
    </w:p>
    <w:p>
      <w:pPr>
        <w:pStyle w:val="5"/>
        <w:spacing w:line="560" w:lineRule="exact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研究生课程学习基本结束后，以研究生培养方案为依据，在第四学期对研究生的政治思想和道德品质、基础理论和专业知识、科研创新、实践能力及健康状况等方面进行综合考核。其目的是总结评价研究生入学以来的学习科研情况，及时发现研究生培养过程中存在的问题，探讨解决问题的途径，明确今后努力的方向。中期筛选考核小组确定考核成绩为</w:t>
      </w:r>
      <w:r>
        <w:rPr>
          <w:rFonts w:hint="eastAsia"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合格</w:t>
      </w:r>
      <w:r>
        <w:rPr>
          <w:rFonts w:hint="eastAsia"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者，可以继续完成学位论文；</w:t>
      </w:r>
      <w:r>
        <w:rPr>
          <w:rFonts w:hint="eastAsia" w:ascii="Times New Roman" w:hAnsi="Times New Roman" w:cs="Times New Roman"/>
          <w:sz w:val="28"/>
          <w:szCs w:val="28"/>
        </w:rPr>
        <w:t>考核成绩为“</w:t>
      </w:r>
      <w:r>
        <w:rPr>
          <w:rFonts w:ascii="Times New Roman" w:hAnsi="Times New Roman" w:cs="Times New Roman"/>
          <w:sz w:val="28"/>
          <w:szCs w:val="28"/>
        </w:rPr>
        <w:t>不合格</w:t>
      </w:r>
      <w:r>
        <w:rPr>
          <w:rFonts w:hint="eastAsia"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者</w:t>
      </w:r>
      <w:r>
        <w:rPr>
          <w:rFonts w:hint="eastAsia" w:ascii="Times New Roman" w:hAnsi="Times New Roman" w:cs="Times New Roman"/>
          <w:sz w:val="28"/>
          <w:szCs w:val="28"/>
        </w:rPr>
        <w:t>，做延期毕业处理，对于第二次中期考核仍“不合格”者，经学院签署意见，研究生院审核，报分管校长批准，终止学籍，做研究生肄业处理。</w:t>
      </w:r>
    </w:p>
    <w:p>
      <w:pPr>
        <w:spacing w:line="560" w:lineRule="exact"/>
        <w:ind w:firstLine="562" w:firstLineChars="20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Hlk99905668"/>
      <w:r>
        <w:rPr>
          <w:rFonts w:hint="eastAsia"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.实习实践</w:t>
      </w:r>
    </w:p>
    <w:bookmarkEnd w:id="3"/>
    <w:p>
      <w:pPr>
        <w:pStyle w:val="5"/>
        <w:spacing w:line="560" w:lineRule="exact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教学实践：</w:t>
      </w:r>
      <w:r>
        <w:rPr>
          <w:rFonts w:hint="eastAsia" w:ascii="Times New Roman" w:hAnsi="Times New Roman" w:cs="Times New Roman"/>
          <w:sz w:val="28"/>
          <w:szCs w:val="28"/>
        </w:rPr>
        <w:t>教学实践方式可采取多种方式进行，如本科课程助课、辅导工作或指导生产实习、课程设计及毕业设计等。教学实践累计不少于</w:t>
      </w:r>
      <w:r>
        <w:rPr>
          <w:rFonts w:ascii="Times New Roman" w:hAnsi="Times New Roman" w:cs="Times New Roman"/>
          <w:sz w:val="28"/>
          <w:szCs w:val="28"/>
        </w:rPr>
        <w:t>1个月的工作量，结束后由导师</w:t>
      </w:r>
      <w:r>
        <w:rPr>
          <w:rFonts w:hint="eastAsia" w:ascii="Times New Roman" w:hAnsi="Times New Roman" w:cs="Times New Roman"/>
          <w:sz w:val="28"/>
          <w:szCs w:val="28"/>
        </w:rPr>
        <w:t>给定</w:t>
      </w:r>
      <w:r>
        <w:rPr>
          <w:rFonts w:ascii="Times New Roman" w:hAnsi="Times New Roman" w:cs="Times New Roman"/>
          <w:sz w:val="28"/>
          <w:szCs w:val="28"/>
        </w:rPr>
        <w:t>考核评语。</w:t>
      </w:r>
    </w:p>
    <w:p>
      <w:pPr>
        <w:pStyle w:val="5"/>
        <w:spacing w:line="560" w:lineRule="exact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专业实践：应安排至少1个月的时间（可以利用寒、暑假）到生产、设计研究单位进行实践训练，也可以参加结合研究方向的科研工作或实验室等工作。</w:t>
      </w:r>
    </w:p>
    <w:p>
      <w:pPr>
        <w:spacing w:line="560" w:lineRule="exact"/>
        <w:ind w:firstLine="562" w:firstLineChars="2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.创新创业</w:t>
      </w:r>
    </w:p>
    <w:p>
      <w:pPr>
        <w:pStyle w:val="5"/>
        <w:spacing w:line="560" w:lineRule="exact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完成下列4项中的2项，即获得创新创业2学分：</w:t>
      </w:r>
    </w:p>
    <w:p>
      <w:pPr>
        <w:pStyle w:val="5"/>
        <w:spacing w:line="560" w:lineRule="exact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</w:instrText>
      </w:r>
      <w:r>
        <w:rPr>
          <w:rFonts w:hint="eastAsia" w:ascii="Times New Roman" w:hAnsi="Times New Roman" w:cs="Times New Roman"/>
          <w:sz w:val="28"/>
          <w:szCs w:val="28"/>
        </w:rPr>
        <w:instrText xml:space="preserve">= 1 \* GB3</w:instrText>
      </w:r>
      <w:r>
        <w:rPr>
          <w:rFonts w:ascii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>①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进行3个月</w:t>
      </w:r>
      <w:r>
        <w:rPr>
          <w:rFonts w:hint="eastAsia" w:ascii="Times New Roman" w:hAnsi="Times New Roman" w:cs="Times New Roman"/>
          <w:sz w:val="28"/>
          <w:szCs w:val="28"/>
        </w:rPr>
        <w:t>国内外访学研修或学术交流；</w:t>
      </w:r>
    </w:p>
    <w:p>
      <w:pPr>
        <w:pStyle w:val="5"/>
        <w:spacing w:line="560" w:lineRule="exact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②</w:t>
      </w:r>
      <w:r>
        <w:rPr>
          <w:rFonts w:ascii="Times New Roman" w:hAnsi="Times New Roman" w:cs="Times New Roman"/>
          <w:sz w:val="28"/>
          <w:szCs w:val="28"/>
        </w:rPr>
        <w:t>参加学术会议并宣读论文，或做公开学术报告2次；</w:t>
      </w:r>
    </w:p>
    <w:p>
      <w:pPr>
        <w:pStyle w:val="5"/>
        <w:spacing w:line="560" w:lineRule="exact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③</w:t>
      </w:r>
      <w:r>
        <w:rPr>
          <w:rFonts w:ascii="Times New Roman" w:hAnsi="Times New Roman" w:cs="Times New Roman"/>
          <w:sz w:val="28"/>
          <w:szCs w:val="28"/>
        </w:rPr>
        <w:t>参加全国性的科技竞赛、创意设计、创新创业竞赛等；</w:t>
      </w:r>
    </w:p>
    <w:p>
      <w:pPr>
        <w:pStyle w:val="5"/>
        <w:spacing w:line="560" w:lineRule="exact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④</w:t>
      </w:r>
      <w:r>
        <w:rPr>
          <w:rFonts w:ascii="Times New Roman" w:hAnsi="Times New Roman" w:cs="Times New Roman"/>
          <w:sz w:val="28"/>
          <w:szCs w:val="28"/>
        </w:rPr>
        <w:t>参加6次以上与本学科相关的学术报告，并提交总结。</w:t>
      </w:r>
    </w:p>
    <w:p>
      <w:pPr>
        <w:pStyle w:val="5"/>
        <w:spacing w:line="560" w:lineRule="exact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未完成创新创业要求的硕士研究生将不能参加论文答辩。</w:t>
      </w:r>
    </w:p>
    <w:p>
      <w:pPr>
        <w:pStyle w:val="5"/>
        <w:spacing w:before="120" w:beforeLines="50" w:after="120" w:afterLines="50" w:line="560" w:lineRule="exact"/>
        <w:jc w:val="both"/>
        <w:outlineLvl w:val="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七、学位论文</w:t>
      </w:r>
    </w:p>
    <w:p>
      <w:pPr>
        <w:pStyle w:val="5"/>
        <w:spacing w:line="560" w:lineRule="exact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硕士学位论文是硕士研究生科学研究工作的全面总结，是描述其研究成果、反映其研究水平的重要学术文献，是申请和授予硕士学位的基本依据。学位论文撰写是硕士研究生培养的关键和核心，必须严格按照规范执行，本学科硕士研究生的学位论文应满足以下基本要求：</w:t>
      </w:r>
    </w:p>
    <w:p>
      <w:pPr>
        <w:pStyle w:val="5"/>
        <w:spacing w:line="560" w:lineRule="exact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.学位论文应在导师指导下由研究生独立完成。</w:t>
      </w:r>
    </w:p>
    <w:p>
      <w:pPr>
        <w:pStyle w:val="5"/>
        <w:spacing w:line="560" w:lineRule="exact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.学位论文一般程序为：文献阅读和调研、初步写出研究课题综述、撰写开题报告、理论分析与研究、科学实验、论文撰写、论文送审和论文答辩等环节。</w:t>
      </w:r>
    </w:p>
    <w:p>
      <w:pPr>
        <w:pStyle w:val="5"/>
        <w:spacing w:line="560" w:lineRule="exact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.学位论文要求理论联系实际，内容充实、技术先进、结论正确、格式规范、条理清楚、表达准确。论文结构包括：题目、中英文摘要、目录、正文、参考文献、致谢、研究成果、附录等。</w:t>
      </w:r>
    </w:p>
    <w:p>
      <w:pPr>
        <w:pStyle w:val="5"/>
        <w:spacing w:line="560" w:lineRule="exact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.学位论文对所研究的课题应在理论分析、科学实验、工程应用与指导实践等环节具有一定的创新性，提出一定的新见解。</w:t>
      </w:r>
    </w:p>
    <w:p>
      <w:pPr>
        <w:pStyle w:val="5"/>
        <w:spacing w:line="560" w:lineRule="exact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.学位论文应具有一定的深度和先进性，应反映出作者对基础理论和专门知识的掌握情况，反映出作者综合运用有关理论、方法和手段解决理论与实践问题的能力。</w:t>
      </w:r>
    </w:p>
    <w:p>
      <w:pPr>
        <w:pStyle w:val="5"/>
        <w:spacing w:line="560" w:lineRule="exact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.学位论文严格按照《山东理工大学关于研究生学位论文工作的有关规定》和《山东理工大学硕士学位授予实施细则》的有关规定组织评阅与答辩。</w:t>
      </w:r>
    </w:p>
    <w:p>
      <w:pPr>
        <w:pStyle w:val="5"/>
        <w:spacing w:before="120" w:beforeLines="50" w:after="120" w:afterLines="50" w:line="560" w:lineRule="exact"/>
        <w:jc w:val="both"/>
        <w:outlineLvl w:val="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八、毕业与学位要求</w:t>
      </w:r>
    </w:p>
    <w:p>
      <w:pPr>
        <w:pStyle w:val="5"/>
        <w:spacing w:line="560" w:lineRule="exact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满足毕业要求，可获得毕业证书；在获得毕业证书的基础上，如满足学位授予标准，可授予学位证书。</w:t>
      </w:r>
    </w:p>
    <w:p>
      <w:pPr>
        <w:spacing w:before="120" w:beforeLines="50" w:after="120" w:afterLines="50" w:line="560" w:lineRule="exact"/>
        <w:ind w:firstLine="562" w:firstLineChars="20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" w:name="_Hlk99905718"/>
      <w:r>
        <w:rPr>
          <w:rFonts w:ascii="Times New Roman" w:hAnsi="Times New Roman" w:cs="Times New Roman"/>
          <w:b/>
          <w:sz w:val="28"/>
          <w:szCs w:val="28"/>
        </w:rPr>
        <w:t>（一）毕业要求</w:t>
      </w:r>
    </w:p>
    <w:bookmarkEnd w:id="4"/>
    <w:p>
      <w:pPr>
        <w:pStyle w:val="5"/>
        <w:spacing w:line="560" w:lineRule="exact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测绘科学与技术学术学位硕士研究生毕业要求：</w:t>
      </w:r>
    </w:p>
    <w:p>
      <w:pPr>
        <w:pStyle w:val="5"/>
        <w:spacing w:line="560" w:lineRule="exact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.热爱祖国，拥护中国共产党的领导，具有社会责任感和历史使命感，维护国家和人民的根本利益，遵纪守法；</w:t>
      </w:r>
    </w:p>
    <w:p>
      <w:pPr>
        <w:pStyle w:val="5"/>
        <w:spacing w:line="560" w:lineRule="exact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.具有良好的品德修养和学术道德，实事求是、勇于创新；</w:t>
      </w:r>
    </w:p>
    <w:p>
      <w:pPr>
        <w:pStyle w:val="5"/>
        <w:spacing w:line="560" w:lineRule="exact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3.修读完培养方案规定课程和其他培养环节，成绩考核合格；</w:t>
      </w:r>
    </w:p>
    <w:p>
      <w:pPr>
        <w:pStyle w:val="5"/>
        <w:spacing w:line="560" w:lineRule="exact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4.完成论文答辩，成绩合格；</w:t>
      </w:r>
    </w:p>
    <w:p>
      <w:pPr>
        <w:pStyle w:val="5"/>
        <w:spacing w:line="560" w:lineRule="exact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5.符合学校有关规定的其他要求。</w:t>
      </w:r>
    </w:p>
    <w:p>
      <w:pPr>
        <w:spacing w:before="120" w:beforeLines="50" w:after="120" w:afterLines="50" w:line="560" w:lineRule="exact"/>
        <w:ind w:firstLine="562" w:firstLineChars="20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_Hlk99906185"/>
      <w:r>
        <w:rPr>
          <w:rFonts w:ascii="Times New Roman" w:hAnsi="Times New Roman" w:cs="Times New Roman"/>
          <w:b/>
          <w:sz w:val="28"/>
          <w:szCs w:val="28"/>
        </w:rPr>
        <w:t>（二）学位要求</w:t>
      </w:r>
    </w:p>
    <w:p>
      <w:pPr>
        <w:pStyle w:val="5"/>
        <w:spacing w:line="560" w:lineRule="exact"/>
        <w:ind w:firstLine="560" w:firstLineChars="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严格执行《中华人民共和国学位条例暂行实施办法》《山东理工大学硕士学位论文评审办法》《山东理工大学硕士学位授予实施细则》</w:t>
      </w:r>
      <w:r>
        <w:rPr>
          <w:rFonts w:hint="eastAsia" w:ascii="Times New Roman" w:hAnsi="Times New Roman" w:cs="Times New Roman"/>
          <w:sz w:val="28"/>
          <w:szCs w:val="28"/>
        </w:rPr>
        <w:t>《建筑工程学院</w:t>
      </w:r>
      <w:r>
        <w:rPr>
          <w:rFonts w:ascii="Times New Roman" w:hAnsi="Times New Roman" w:cs="Times New Roman"/>
          <w:sz w:val="28"/>
          <w:szCs w:val="28"/>
        </w:rPr>
        <w:t>硕士研究生申请学位</w:t>
      </w:r>
      <w:r>
        <w:rPr>
          <w:rFonts w:hint="eastAsia" w:ascii="Times New Roman" w:hAnsi="Times New Roman" w:cs="Times New Roman"/>
          <w:sz w:val="28"/>
          <w:szCs w:val="28"/>
        </w:rPr>
        <w:t>学术创新性要求实施细则（</w:t>
      </w:r>
      <w:r>
        <w:rPr>
          <w:rFonts w:ascii="Times New Roman" w:hAnsi="Times New Roman" w:cs="Times New Roman"/>
          <w:sz w:val="28"/>
          <w:szCs w:val="28"/>
        </w:rPr>
        <w:t>0816测绘科学与技术）</w:t>
      </w:r>
      <w:r>
        <w:rPr>
          <w:rFonts w:hint="eastAsia" w:ascii="Times New Roman" w:hAnsi="Times New Roman" w:cs="Times New Roman"/>
          <w:sz w:val="28"/>
          <w:szCs w:val="28"/>
        </w:rPr>
        <w:t>》等有关学术</w:t>
      </w:r>
      <w:r>
        <w:rPr>
          <w:rFonts w:ascii="Times New Roman" w:hAnsi="Times New Roman" w:cs="Times New Roman"/>
          <w:sz w:val="28"/>
          <w:szCs w:val="28"/>
        </w:rPr>
        <w:t>硕士学位授予有关规定。</w:t>
      </w:r>
    </w:p>
    <w:bookmarkEnd w:id="5"/>
    <w:p>
      <w:pPr>
        <w:spacing w:line="343" w:lineRule="auto"/>
        <w:jc w:val="both"/>
        <w:rPr>
          <w:rFonts w:ascii="Times New Roman" w:hAnsi="Times New Roman" w:cs="Times New Roman"/>
        </w:rPr>
      </w:pPr>
    </w:p>
    <w:p>
      <w:pPr>
        <w:spacing w:line="343" w:lineRule="auto"/>
        <w:jc w:val="both"/>
        <w:rPr>
          <w:rFonts w:ascii="Times New Roman" w:hAnsi="Times New Roman" w:cs="Times New Roman"/>
        </w:rPr>
        <w:sectPr>
          <w:footerReference r:id="rId4" w:type="default"/>
          <w:headerReference r:id="rId3" w:type="even"/>
          <w:footerReference r:id="rId5" w:type="even"/>
          <w:pgSz w:w="11900" w:h="16840"/>
          <w:pgMar w:top="1440" w:right="1797" w:bottom="1440" w:left="1797" w:header="771" w:footer="1253" w:gutter="0"/>
          <w:cols w:space="720" w:num="1"/>
          <w:docGrid w:linePitch="299" w:charSpace="0"/>
        </w:sectPr>
      </w:pPr>
    </w:p>
    <w:p>
      <w:pPr>
        <w:spacing w:before="120" w:beforeLines="50" w:after="120" w:afterLines="50" w:line="560" w:lineRule="exact"/>
        <w:ind w:firstLine="562" w:firstLineChars="20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附表 1：研究方向简介</w:t>
      </w: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1737"/>
        <w:gridCol w:w="6371"/>
        <w:gridCol w:w="54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2433" w:type="dxa"/>
            <w:gridSpan w:val="2"/>
            <w:vAlign w:val="center"/>
          </w:tcPr>
          <w:p>
            <w:pPr>
              <w:pStyle w:val="15"/>
              <w:tabs>
                <w:tab w:val="left" w:pos="426"/>
              </w:tabs>
              <w:spacing w:before="109"/>
              <w:ind w:left="4"/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类别</w:t>
            </w:r>
          </w:p>
        </w:tc>
        <w:tc>
          <w:tcPr>
            <w:tcW w:w="6371" w:type="dxa"/>
            <w:vAlign w:val="center"/>
          </w:tcPr>
          <w:p>
            <w:pPr>
              <w:pStyle w:val="15"/>
              <w:tabs>
                <w:tab w:val="left" w:pos="426"/>
              </w:tabs>
              <w:spacing w:before="109"/>
              <w:ind w:left="4"/>
              <w:jc w:val="center"/>
              <w:rPr>
                <w:rFonts w:ascii="Times New Roman" w:hAnsi="Times New Roman" w:eastAsia="Microsoft JhengHei"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培养目标</w:t>
            </w:r>
          </w:p>
        </w:tc>
        <w:tc>
          <w:tcPr>
            <w:tcW w:w="5477" w:type="dxa"/>
            <w:vAlign w:val="center"/>
          </w:tcPr>
          <w:p>
            <w:pPr>
              <w:pStyle w:val="15"/>
              <w:tabs>
                <w:tab w:val="left" w:pos="426"/>
              </w:tabs>
              <w:spacing w:before="109"/>
              <w:ind w:left="4"/>
              <w:jc w:val="center"/>
              <w:rPr>
                <w:rFonts w:ascii="Times New Roman" w:hAnsi="Times New Roman" w:eastAsia="Microsoft JhengHei"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支撑课程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2433" w:type="dxa"/>
            <w:gridSpan w:val="2"/>
            <w:vAlign w:val="center"/>
          </w:tcPr>
          <w:p>
            <w:pPr>
              <w:pStyle w:val="15"/>
              <w:ind w:left="719"/>
              <w:rPr>
                <w:rFonts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综合素质</w:t>
            </w:r>
          </w:p>
        </w:tc>
        <w:tc>
          <w:tcPr>
            <w:tcW w:w="6371" w:type="dxa"/>
            <w:vAlign w:val="center"/>
          </w:tcPr>
          <w:p>
            <w:pPr>
              <w:pStyle w:val="15"/>
              <w:ind w:left="110" w:leftChars="50" w:right="110" w:rightChars="50" w:firstLine="420" w:firstLineChars="20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拥护党的基本路线和方针政策，热爱祖国，遵纪守法，具有良好的职业道德和敬业精神，具有科学严谨和求真务实的学习态度和工作作风，身心健康。</w:t>
            </w:r>
          </w:p>
        </w:tc>
        <w:tc>
          <w:tcPr>
            <w:tcW w:w="5477" w:type="dxa"/>
            <w:vAlign w:val="center"/>
          </w:tcPr>
          <w:p>
            <w:pPr>
              <w:pStyle w:val="15"/>
              <w:ind w:left="110" w:leftChars="50" w:right="110" w:rightChars="50" w:firstLine="420" w:firstLineChars="20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自然辩证法、</w:t>
            </w:r>
            <w:r>
              <w:rPr>
                <w:rFonts w:hint="eastAsia" w:cs="Times New Roman"/>
                <w:sz w:val="21"/>
                <w:szCs w:val="21"/>
              </w:rPr>
              <w:t>新时代中国特色社会主义理论与实践</w:t>
            </w:r>
            <w:r>
              <w:rPr>
                <w:rFonts w:cs="Times New Roman"/>
                <w:sz w:val="21"/>
                <w:szCs w:val="21"/>
              </w:rPr>
              <w:t>、东方哲学与现代化、科研素养与创新能力。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jc w:val="center"/>
        </w:trPr>
        <w:tc>
          <w:tcPr>
            <w:tcW w:w="2433" w:type="dxa"/>
            <w:gridSpan w:val="2"/>
            <w:vAlign w:val="center"/>
          </w:tcPr>
          <w:p>
            <w:pPr>
              <w:pStyle w:val="15"/>
              <w:ind w:left="719"/>
              <w:rPr>
                <w:rFonts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综合能力</w:t>
            </w:r>
          </w:p>
        </w:tc>
        <w:tc>
          <w:tcPr>
            <w:tcW w:w="6371" w:type="dxa"/>
            <w:vAlign w:val="center"/>
          </w:tcPr>
          <w:p>
            <w:pPr>
              <w:pStyle w:val="15"/>
              <w:ind w:left="110" w:leftChars="50" w:right="110" w:rightChars="50" w:firstLine="420" w:firstLineChars="20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具有测绘工程领域坚实的基础理论和系统的专门知识，了解本领域的发展动向,掌握解决问题的先进技术方法和现代技术手段，具有独立从事测绘地理信息工程设计、工程实施，工程研究、工程开发、工程管理等能力。</w:t>
            </w:r>
          </w:p>
        </w:tc>
        <w:tc>
          <w:tcPr>
            <w:tcW w:w="5477" w:type="dxa"/>
            <w:vAlign w:val="center"/>
          </w:tcPr>
          <w:p>
            <w:pPr>
              <w:pStyle w:val="15"/>
              <w:ind w:left="110" w:leftChars="50" w:right="110" w:rightChars="50" w:firstLine="420" w:firstLineChars="20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数值分析、计算机科学前沿技术应用系列讲座、科技英语写作。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jc w:val="center"/>
        </w:trPr>
        <w:tc>
          <w:tcPr>
            <w:tcW w:w="696" w:type="dxa"/>
            <w:vMerge w:val="restart"/>
            <w:vAlign w:val="center"/>
          </w:tcPr>
          <w:p>
            <w:pPr>
              <w:pStyle w:val="15"/>
              <w:tabs>
                <w:tab w:val="left" w:pos="426"/>
              </w:tabs>
              <w:spacing w:before="109"/>
              <w:ind w:left="4"/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研究</w:t>
            </w:r>
          </w:p>
          <w:p>
            <w:pPr>
              <w:pStyle w:val="15"/>
              <w:tabs>
                <w:tab w:val="left" w:pos="426"/>
              </w:tabs>
              <w:spacing w:before="109"/>
              <w:ind w:left="4"/>
              <w:jc w:val="center"/>
              <w:rPr>
                <w:rFonts w:ascii="Times New Roman" w:hAnsi="Times New Roman" w:eastAsia="Microsoft JhengHei"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方向</w:t>
            </w:r>
          </w:p>
        </w:tc>
        <w:tc>
          <w:tcPr>
            <w:tcW w:w="1737" w:type="dxa"/>
            <w:vAlign w:val="center"/>
          </w:tcPr>
          <w:p>
            <w:pPr>
              <w:adjustRightInd w:val="0"/>
              <w:ind w:left="110" w:leftChars="50" w:right="110" w:rightChars="50"/>
              <w:jc w:val="center"/>
              <w:rPr>
                <w:rFonts w:cs="Times New Roman"/>
                <w:sz w:val="21"/>
                <w:szCs w:val="21"/>
                <w:lang w:bidi="mn-Mong-CN"/>
              </w:rPr>
            </w:pPr>
            <w:r>
              <w:rPr>
                <w:rFonts w:cs="Times New Roman"/>
                <w:sz w:val="21"/>
                <w:szCs w:val="21"/>
                <w:lang w:bidi="mn-Mong-CN"/>
              </w:rPr>
              <w:t>现代大地测量与数据处理</w:t>
            </w:r>
          </w:p>
        </w:tc>
        <w:tc>
          <w:tcPr>
            <w:tcW w:w="6371" w:type="dxa"/>
            <w:vAlign w:val="center"/>
          </w:tcPr>
          <w:p>
            <w:pPr>
              <w:adjustRightInd w:val="0"/>
              <w:ind w:left="110" w:leftChars="50" w:right="110" w:rightChars="50" w:firstLine="420" w:firstLineChars="200"/>
              <w:jc w:val="both"/>
              <w:rPr>
                <w:rFonts w:cs="Times New Roman"/>
                <w:sz w:val="21"/>
                <w:szCs w:val="21"/>
                <w:lang w:bidi="mn-Mong-CN"/>
              </w:rPr>
            </w:pPr>
            <w:r>
              <w:rPr>
                <w:sz w:val="21"/>
                <w:szCs w:val="21"/>
              </w:rPr>
              <w:t>以傅里叶变换、小波分析、非线性规划、最小二乘配置、滤波、推估和各种测量平差技术为基础，结合卫星大地测量、空间物理学、海洋测绘与固体地球物理等学科的经典原理与最新进展，培养学生在现代大地测量与数据处理理论、方法与应用等领域的研究能力。</w:t>
            </w:r>
          </w:p>
        </w:tc>
        <w:tc>
          <w:tcPr>
            <w:tcW w:w="5477" w:type="dxa"/>
            <w:vAlign w:val="center"/>
          </w:tcPr>
          <w:p>
            <w:pPr>
              <w:pStyle w:val="15"/>
              <w:ind w:left="110" w:leftChars="50" w:right="110" w:rightChars="50" w:firstLine="420" w:firstLineChars="20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现代测量数据处理理论与方法、多模卫星导航定位与应用、</w:t>
            </w:r>
            <w:r>
              <w:rPr>
                <w:rFonts w:cs="Times New Roman"/>
                <w:sz w:val="21"/>
                <w:szCs w:val="21"/>
              </w:rPr>
              <w:t>GNSS数据处理</w:t>
            </w:r>
            <w:r>
              <w:rPr>
                <w:rFonts w:hint="eastAsia" w:cs="Times New Roman"/>
                <w:sz w:val="21"/>
                <w:szCs w:val="21"/>
              </w:rPr>
              <w:t>、空间大地测量学、现代大地测量理论与技术、物理大地测量学、海洋测绘技术与应用、精密工程测量与变形监测、时间序列分析、小波理论及其应用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  <w:jc w:val="center"/>
        </w:trPr>
        <w:tc>
          <w:tcPr>
            <w:tcW w:w="696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37" w:type="dxa"/>
            <w:vAlign w:val="center"/>
          </w:tcPr>
          <w:p>
            <w:pPr>
              <w:adjustRightInd w:val="0"/>
              <w:ind w:left="110" w:leftChars="50" w:right="110" w:rightChars="50"/>
              <w:jc w:val="center"/>
              <w:rPr>
                <w:rFonts w:cs="Times New Roman"/>
                <w:sz w:val="21"/>
                <w:szCs w:val="21"/>
                <w:lang w:bidi="mn-Mong-CN"/>
              </w:rPr>
            </w:pPr>
            <w:r>
              <w:rPr>
                <w:rFonts w:cs="Times New Roman"/>
                <w:sz w:val="21"/>
                <w:szCs w:val="21"/>
                <w:lang w:bidi="mn-Mong-CN"/>
              </w:rPr>
              <w:t>数字摄影测量</w:t>
            </w:r>
          </w:p>
        </w:tc>
        <w:tc>
          <w:tcPr>
            <w:tcW w:w="6371" w:type="dxa"/>
            <w:vAlign w:val="center"/>
          </w:tcPr>
          <w:p>
            <w:pPr>
              <w:adjustRightInd w:val="0"/>
              <w:ind w:left="110" w:leftChars="50" w:right="110" w:rightChars="50" w:firstLine="420" w:firstLineChars="200"/>
              <w:jc w:val="both"/>
              <w:rPr>
                <w:rFonts w:cs="Times New Roman"/>
                <w:sz w:val="21"/>
                <w:szCs w:val="21"/>
                <w:lang w:bidi="mn-Mong-CN"/>
              </w:rPr>
            </w:pPr>
            <w:r>
              <w:rPr>
                <w:rFonts w:cs="Times New Roman"/>
                <w:sz w:val="21"/>
                <w:szCs w:val="21"/>
                <w:lang w:bidi="mn-Mong-CN"/>
              </w:rPr>
              <w:t>将摄影测量基本原理与计算机视觉理论相结合，培养学生应用</w:t>
            </w:r>
            <w:r>
              <w:rPr>
                <w:rFonts w:hint="eastAsia" w:cs="Times New Roman"/>
                <w:sz w:val="21"/>
                <w:szCs w:val="21"/>
                <w:lang w:bidi="mn-Mong-CN"/>
              </w:rPr>
              <w:t>摄影测量</w:t>
            </w:r>
            <w:r>
              <w:rPr>
                <w:rFonts w:cs="Times New Roman"/>
                <w:sz w:val="21"/>
                <w:szCs w:val="21"/>
                <w:lang w:bidi="mn-Mong-CN"/>
              </w:rPr>
              <w:t>、数字图像处理、模式识别</w:t>
            </w:r>
            <w:r>
              <w:rPr>
                <w:rFonts w:hint="eastAsia" w:cs="Times New Roman"/>
                <w:sz w:val="21"/>
                <w:szCs w:val="21"/>
                <w:lang w:bidi="mn-Mong-CN"/>
              </w:rPr>
              <w:t>、测量平差</w:t>
            </w:r>
            <w:r>
              <w:rPr>
                <w:rFonts w:cs="Times New Roman"/>
                <w:sz w:val="21"/>
                <w:szCs w:val="21"/>
                <w:lang w:bidi="mn-Mong-CN"/>
              </w:rPr>
              <w:t>等</w:t>
            </w:r>
            <w:r>
              <w:rPr>
                <w:rFonts w:hint="eastAsia" w:cs="Times New Roman"/>
                <w:sz w:val="21"/>
                <w:szCs w:val="21"/>
                <w:lang w:bidi="mn-Mong-CN"/>
              </w:rPr>
              <w:t>理论</w:t>
            </w:r>
            <w:r>
              <w:rPr>
                <w:rFonts w:cs="Times New Roman"/>
                <w:sz w:val="21"/>
                <w:szCs w:val="21"/>
                <w:lang w:bidi="mn-Mong-CN"/>
              </w:rPr>
              <w:t>与方法，自动</w:t>
            </w:r>
            <w:r>
              <w:rPr>
                <w:rFonts w:hint="eastAsia" w:cs="Times New Roman"/>
                <w:sz w:val="21"/>
                <w:szCs w:val="21"/>
                <w:lang w:bidi="mn-Mong-CN"/>
              </w:rPr>
              <w:t>/</w:t>
            </w:r>
            <w:r>
              <w:rPr>
                <w:rFonts w:cs="Times New Roman"/>
                <w:sz w:val="21"/>
                <w:szCs w:val="21"/>
                <w:lang w:bidi="mn-Mong-CN"/>
              </w:rPr>
              <w:t>半自动地提取所摄对象的几何与物理信息</w:t>
            </w:r>
            <w:r>
              <w:rPr>
                <w:rFonts w:hint="eastAsia" w:cs="Times New Roman"/>
                <w:sz w:val="21"/>
                <w:szCs w:val="21"/>
                <w:lang w:bidi="mn-Mong-CN"/>
              </w:rPr>
              <w:t>，服务于实景三维中国空间基座建立</w:t>
            </w:r>
            <w:r>
              <w:rPr>
                <w:rFonts w:cs="Times New Roman"/>
                <w:sz w:val="21"/>
                <w:szCs w:val="21"/>
                <w:lang w:bidi="mn-Mong-CN"/>
              </w:rPr>
              <w:t>。</w:t>
            </w:r>
          </w:p>
        </w:tc>
        <w:tc>
          <w:tcPr>
            <w:tcW w:w="5477" w:type="dxa"/>
            <w:vAlign w:val="center"/>
          </w:tcPr>
          <w:p>
            <w:pPr>
              <w:pStyle w:val="15"/>
              <w:ind w:left="110" w:leftChars="50" w:right="110" w:rightChars="50" w:firstLine="420" w:firstLineChars="20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低空摄影测量原理与应用、航空航天摄影测量、可视化编程语言（</w:t>
            </w:r>
            <w:r>
              <w:rPr>
                <w:rFonts w:cs="Times New Roman"/>
                <w:sz w:val="21"/>
                <w:szCs w:val="21"/>
              </w:rPr>
              <w:t>C++）</w:t>
            </w:r>
            <w:r>
              <w:rPr>
                <w:rFonts w:hint="eastAsia" w:cs="Times New Roman"/>
                <w:sz w:val="21"/>
                <w:szCs w:val="21"/>
              </w:rPr>
              <w:t>、空间信息模式识别、三维激光扫描测量与建模、机器视觉测量、传感器集成与应用、工业测量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  <w:jc w:val="center"/>
        </w:trPr>
        <w:tc>
          <w:tcPr>
            <w:tcW w:w="696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37" w:type="dxa"/>
            <w:vAlign w:val="center"/>
          </w:tcPr>
          <w:p>
            <w:pPr>
              <w:adjustRightInd w:val="0"/>
              <w:ind w:left="110" w:leftChars="50" w:right="110" w:rightChars="50"/>
              <w:jc w:val="center"/>
              <w:rPr>
                <w:rFonts w:cs="Times New Roman"/>
                <w:sz w:val="21"/>
                <w:szCs w:val="21"/>
                <w:lang w:bidi="mn-Mong-CN"/>
              </w:rPr>
            </w:pPr>
            <w:r>
              <w:rPr>
                <w:rFonts w:cs="Times New Roman"/>
                <w:sz w:val="21"/>
                <w:szCs w:val="21"/>
                <w:lang w:bidi="mn-Mong-CN"/>
              </w:rPr>
              <w:t>资源环境遥感</w:t>
            </w:r>
          </w:p>
        </w:tc>
        <w:tc>
          <w:tcPr>
            <w:tcW w:w="6371" w:type="dxa"/>
            <w:vAlign w:val="center"/>
          </w:tcPr>
          <w:p>
            <w:pPr>
              <w:adjustRightInd w:val="0"/>
              <w:ind w:left="110" w:leftChars="50" w:right="110" w:rightChars="50" w:firstLine="420" w:firstLineChars="200"/>
              <w:jc w:val="both"/>
              <w:rPr>
                <w:rFonts w:cs="Times New Roman"/>
                <w:sz w:val="21"/>
                <w:szCs w:val="21"/>
                <w:lang w:bidi="mn-Mong-CN"/>
              </w:rPr>
            </w:pPr>
            <w:r>
              <w:rPr>
                <w:sz w:val="21"/>
                <w:szCs w:val="21"/>
              </w:rPr>
              <w:t>以遥感学、地理信息科学、生态学、环境学、气象学、灾害学及计算机科学等理论知识为基础，培养学生能够从事地理国情监测、生态环境评价、城市环境遥感、大气遥感以及灾害遥感方面的生产与研究工作的综合能力和素养。</w:t>
            </w:r>
          </w:p>
        </w:tc>
        <w:tc>
          <w:tcPr>
            <w:tcW w:w="5477" w:type="dxa"/>
            <w:vAlign w:val="center"/>
          </w:tcPr>
          <w:p>
            <w:pPr>
              <w:pStyle w:val="15"/>
              <w:ind w:left="110" w:leftChars="50" w:right="110" w:rightChars="50" w:firstLine="420" w:firstLineChars="20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高级遥感技术、遥感地学分析与应用、</w:t>
            </w:r>
            <w:r>
              <w:rPr>
                <w:sz w:val="21"/>
                <w:szCs w:val="21"/>
              </w:rPr>
              <w:t>3S技术前沿（全英文）</w:t>
            </w:r>
            <w:r>
              <w:rPr>
                <w:rFonts w:hint="eastAsia"/>
                <w:sz w:val="21"/>
                <w:szCs w:val="21"/>
              </w:rPr>
              <w:t>、定量遥感、高光谱遥感技术与应用、微波遥感、资源与环境遥感监测技术与应用专题（</w:t>
            </w:r>
            <w:r>
              <w:rPr>
                <w:sz w:val="21"/>
                <w:szCs w:val="21"/>
              </w:rPr>
              <w:t>农业、大气、冰冻圈等）</w:t>
            </w:r>
            <w:r>
              <w:rPr>
                <w:rFonts w:hint="eastAsia"/>
                <w:sz w:val="21"/>
                <w:szCs w:val="21"/>
              </w:rPr>
              <w:t>、遥感数字图像处理新技术、热红外遥感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  <w:jc w:val="center"/>
        </w:trPr>
        <w:tc>
          <w:tcPr>
            <w:tcW w:w="696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37" w:type="dxa"/>
            <w:vAlign w:val="center"/>
          </w:tcPr>
          <w:p>
            <w:pPr>
              <w:adjustRightInd w:val="0"/>
              <w:ind w:left="110" w:leftChars="50" w:right="110" w:rightChars="50"/>
              <w:jc w:val="center"/>
              <w:rPr>
                <w:rFonts w:cs="Times New Roman"/>
                <w:sz w:val="21"/>
                <w:szCs w:val="21"/>
                <w:lang w:bidi="mn-Mong-CN"/>
              </w:rPr>
            </w:pPr>
            <w:r>
              <w:rPr>
                <w:rFonts w:cs="Times New Roman"/>
                <w:sz w:val="21"/>
                <w:szCs w:val="21"/>
                <w:lang w:bidi="mn-Mong-CN"/>
              </w:rPr>
              <w:t>GIS理论及应用</w:t>
            </w:r>
          </w:p>
        </w:tc>
        <w:tc>
          <w:tcPr>
            <w:tcW w:w="6371" w:type="dxa"/>
            <w:vAlign w:val="center"/>
          </w:tcPr>
          <w:p>
            <w:pPr>
              <w:adjustRightInd w:val="0"/>
              <w:ind w:left="110" w:leftChars="50" w:right="110" w:rightChars="50" w:firstLine="420" w:firstLineChars="200"/>
              <w:jc w:val="both"/>
              <w:rPr>
                <w:rFonts w:cs="Times New Roman"/>
                <w:sz w:val="21"/>
                <w:szCs w:val="21"/>
                <w:lang w:bidi="mn-Mong-CN"/>
              </w:rPr>
            </w:pPr>
            <w:r>
              <w:rPr>
                <w:sz w:val="21"/>
                <w:szCs w:val="21"/>
              </w:rPr>
              <w:t>从测绘、地理、计算机等多学科交叉的角度综合分析和研究国情，培养学生掌握地理空间信息获取、更新与处理、地理国情变化监测与动态分析等技术。</w:t>
            </w:r>
          </w:p>
        </w:tc>
        <w:tc>
          <w:tcPr>
            <w:tcW w:w="5477" w:type="dxa"/>
            <w:vAlign w:val="center"/>
          </w:tcPr>
          <w:p>
            <w:pPr>
              <w:pStyle w:val="15"/>
              <w:ind w:left="110" w:leftChars="50" w:right="110" w:rightChars="50" w:firstLine="420" w:firstLineChars="20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地理信息理论与新技术、时空数据库原理、地理信息系统设计与开发、网络</w:t>
            </w:r>
            <w:r>
              <w:rPr>
                <w:rFonts w:cs="Times New Roman"/>
                <w:sz w:val="21"/>
                <w:szCs w:val="21"/>
              </w:rPr>
              <w:t>GIS与空间信息服务</w:t>
            </w:r>
            <w:r>
              <w:rPr>
                <w:rFonts w:hint="eastAsia" w:cs="Times New Roman"/>
                <w:sz w:val="21"/>
                <w:szCs w:val="21"/>
              </w:rPr>
              <w:t>、地理空间数据挖掘、高性能地学计算、地理数据处理与机器学习（全英文）、地理空间分析与建模、现代地图学理论与技术</w:t>
            </w:r>
          </w:p>
        </w:tc>
      </w:tr>
    </w:tbl>
    <w:p>
      <w:pPr>
        <w:spacing w:before="120" w:beforeLines="50" w:after="120" w:afterLines="50"/>
        <w:jc w:val="both"/>
        <w:rPr>
          <w:rFonts w:ascii="Times New Roman" w:hAnsi="Times New Roman" w:cs="Times New Roman"/>
          <w:b/>
          <w:sz w:val="28"/>
          <w:szCs w:val="28"/>
        </w:rPr>
        <w:sectPr>
          <w:headerReference r:id="rId6" w:type="even"/>
          <w:footerReference r:id="rId7" w:type="even"/>
          <w:pgSz w:w="16840" w:h="11900" w:orient="landscape"/>
          <w:pgMar w:top="720" w:right="720" w:bottom="720" w:left="720" w:header="0" w:footer="0" w:gutter="0"/>
          <w:cols w:space="720" w:num="1"/>
          <w:docGrid w:linePitch="299" w:charSpace="0"/>
        </w:sectPr>
      </w:pPr>
    </w:p>
    <w:p>
      <w:pPr>
        <w:spacing w:before="120" w:beforeLines="50" w:after="120" w:afterLines="50" w:line="560" w:lineRule="exact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附表 2：培养计划</w:t>
      </w:r>
    </w:p>
    <w:tbl>
      <w:tblPr>
        <w:tblStyle w:val="10"/>
        <w:tblW w:w="92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"/>
        <w:gridCol w:w="1380"/>
        <w:gridCol w:w="135"/>
        <w:gridCol w:w="1014"/>
        <w:gridCol w:w="1724"/>
        <w:gridCol w:w="312"/>
        <w:gridCol w:w="1531"/>
        <w:gridCol w:w="68"/>
        <w:gridCol w:w="845"/>
        <w:gridCol w:w="562"/>
        <w:gridCol w:w="567"/>
        <w:gridCol w:w="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34" w:type="dxa"/>
            <w:gridSpan w:val="2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学科名称</w:t>
            </w:r>
          </w:p>
        </w:tc>
        <w:tc>
          <w:tcPr>
            <w:tcW w:w="3185" w:type="dxa"/>
            <w:gridSpan w:val="4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测绘科学与技术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学科代码</w:t>
            </w:r>
          </w:p>
        </w:tc>
        <w:tc>
          <w:tcPr>
            <w:tcW w:w="2675" w:type="dxa"/>
            <w:gridSpan w:val="4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0816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34" w:type="dxa"/>
            <w:gridSpan w:val="2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单位名称</w:t>
            </w:r>
          </w:p>
        </w:tc>
        <w:tc>
          <w:tcPr>
            <w:tcW w:w="3185" w:type="dxa"/>
            <w:gridSpan w:val="4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建筑工程学院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培养类型</w:t>
            </w:r>
          </w:p>
        </w:tc>
        <w:tc>
          <w:tcPr>
            <w:tcW w:w="2675" w:type="dxa"/>
            <w:gridSpan w:val="4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学术学位硕士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34" w:type="dxa"/>
            <w:gridSpan w:val="2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学分要求</w:t>
            </w:r>
          </w:p>
        </w:tc>
        <w:tc>
          <w:tcPr>
            <w:tcW w:w="7459" w:type="dxa"/>
            <w:gridSpan w:val="10"/>
            <w:vAlign w:val="center"/>
          </w:tcPr>
          <w:p>
            <w:pPr>
              <w:pStyle w:val="15"/>
              <w:spacing w:before="140"/>
              <w:ind w:left="105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总学分：≥ 34.5，必修课程学分：19.5，选修课程学分：≥ 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293" w:type="dxa"/>
            <w:gridSpan w:val="12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ascii="Times New Roman" w:hAnsi="Times New Roman" w:eastAsia="Microsoft JhengHei"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课 程 设 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69" w:type="dxa"/>
            <w:gridSpan w:val="3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课程类型</w:t>
            </w:r>
          </w:p>
        </w:tc>
        <w:tc>
          <w:tcPr>
            <w:tcW w:w="1014" w:type="dxa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课程编码</w:t>
            </w:r>
          </w:p>
        </w:tc>
        <w:tc>
          <w:tcPr>
            <w:tcW w:w="4480" w:type="dxa"/>
            <w:gridSpan w:val="5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课程名称</w:t>
            </w:r>
          </w:p>
        </w:tc>
        <w:tc>
          <w:tcPr>
            <w:tcW w:w="562" w:type="dxa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学分</w:t>
            </w:r>
          </w:p>
        </w:tc>
        <w:tc>
          <w:tcPr>
            <w:tcW w:w="567" w:type="dxa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学期</w:t>
            </w:r>
          </w:p>
        </w:tc>
        <w:tc>
          <w:tcPr>
            <w:tcW w:w="701" w:type="dxa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4" w:type="dxa"/>
            <w:vMerge w:val="restart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学</w:t>
            </w:r>
          </w:p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位</w:t>
            </w:r>
          </w:p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课</w:t>
            </w:r>
          </w:p>
          <w:p>
            <w:pPr>
              <w:pStyle w:val="15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程</w:t>
            </w:r>
          </w:p>
        </w:tc>
        <w:tc>
          <w:tcPr>
            <w:tcW w:w="1515" w:type="dxa"/>
            <w:gridSpan w:val="2"/>
            <w:vMerge w:val="restart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公共必修课程</w:t>
            </w:r>
          </w:p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8学分</w:t>
            </w:r>
          </w:p>
        </w:tc>
        <w:tc>
          <w:tcPr>
            <w:tcW w:w="1014" w:type="dxa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G14001</w:t>
            </w:r>
          </w:p>
        </w:tc>
        <w:tc>
          <w:tcPr>
            <w:tcW w:w="4480" w:type="dxa"/>
            <w:gridSpan w:val="5"/>
            <w:vAlign w:val="center"/>
          </w:tcPr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研究生英语</w:t>
            </w:r>
          </w:p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</w:rPr>
              <w:t>English for Graduate Students</w:t>
            </w:r>
          </w:p>
        </w:tc>
        <w:tc>
          <w:tcPr>
            <w:tcW w:w="562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</w:t>
            </w:r>
          </w:p>
        </w:tc>
        <w:tc>
          <w:tcPr>
            <w:tcW w:w="701" w:type="dxa"/>
            <w:vMerge w:val="restart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必选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515" w:type="dxa"/>
            <w:gridSpan w:val="2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G14003</w:t>
            </w:r>
          </w:p>
        </w:tc>
        <w:tc>
          <w:tcPr>
            <w:tcW w:w="4480" w:type="dxa"/>
            <w:gridSpan w:val="5"/>
            <w:vAlign w:val="center"/>
          </w:tcPr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口语</w:t>
            </w:r>
          </w:p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Oral Language</w:t>
            </w:r>
          </w:p>
        </w:tc>
        <w:tc>
          <w:tcPr>
            <w:tcW w:w="562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</w:t>
            </w:r>
          </w:p>
        </w:tc>
        <w:tc>
          <w:tcPr>
            <w:tcW w:w="701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515" w:type="dxa"/>
            <w:gridSpan w:val="2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G15003</w:t>
            </w:r>
          </w:p>
        </w:tc>
        <w:tc>
          <w:tcPr>
            <w:tcW w:w="4480" w:type="dxa"/>
            <w:gridSpan w:val="5"/>
            <w:vAlign w:val="center"/>
          </w:tcPr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论文写作与学术规范</w:t>
            </w:r>
          </w:p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Thesis Writing and Academic norms</w:t>
            </w:r>
          </w:p>
        </w:tc>
        <w:tc>
          <w:tcPr>
            <w:tcW w:w="562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</w:t>
            </w:r>
          </w:p>
        </w:tc>
        <w:tc>
          <w:tcPr>
            <w:tcW w:w="701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515" w:type="dxa"/>
            <w:gridSpan w:val="2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G16003</w:t>
            </w:r>
          </w:p>
        </w:tc>
        <w:tc>
          <w:tcPr>
            <w:tcW w:w="4480" w:type="dxa"/>
            <w:gridSpan w:val="5"/>
            <w:vAlign w:val="center"/>
          </w:tcPr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自然辩证法</w:t>
            </w:r>
          </w:p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Dialectics of nature</w:t>
            </w:r>
          </w:p>
        </w:tc>
        <w:tc>
          <w:tcPr>
            <w:tcW w:w="562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</w:t>
            </w:r>
          </w:p>
        </w:tc>
        <w:tc>
          <w:tcPr>
            <w:tcW w:w="701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515" w:type="dxa"/>
            <w:gridSpan w:val="2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G16007</w:t>
            </w:r>
          </w:p>
        </w:tc>
        <w:tc>
          <w:tcPr>
            <w:tcW w:w="4480" w:type="dxa"/>
            <w:gridSpan w:val="5"/>
            <w:vAlign w:val="center"/>
          </w:tcPr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新时代中国特色社会主义理论与实践</w:t>
            </w:r>
          </w:p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lang w:val="en-US"/>
              </w:rPr>
              <w:t>Theory and practice of socialism with Chinese characteristics in the new eras</w:t>
            </w:r>
          </w:p>
        </w:tc>
        <w:tc>
          <w:tcPr>
            <w:tcW w:w="562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</w:t>
            </w:r>
          </w:p>
        </w:tc>
        <w:tc>
          <w:tcPr>
            <w:tcW w:w="701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515" w:type="dxa"/>
            <w:gridSpan w:val="2"/>
            <w:vMerge w:val="restart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学科平台课程</w:t>
            </w:r>
          </w:p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11.5 学分</w:t>
            </w:r>
          </w:p>
        </w:tc>
        <w:tc>
          <w:tcPr>
            <w:tcW w:w="1014" w:type="dxa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G11002</w:t>
            </w:r>
          </w:p>
        </w:tc>
        <w:tc>
          <w:tcPr>
            <w:tcW w:w="4480" w:type="dxa"/>
            <w:gridSpan w:val="5"/>
            <w:vAlign w:val="center"/>
          </w:tcPr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矩阵理论</w:t>
            </w:r>
          </w:p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Matrix theory</w:t>
            </w:r>
          </w:p>
        </w:tc>
        <w:tc>
          <w:tcPr>
            <w:tcW w:w="562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2.5</w:t>
            </w:r>
          </w:p>
        </w:tc>
        <w:tc>
          <w:tcPr>
            <w:tcW w:w="567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</w:t>
            </w:r>
          </w:p>
        </w:tc>
        <w:tc>
          <w:tcPr>
            <w:tcW w:w="701" w:type="dxa"/>
            <w:vMerge w:val="restart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必选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515" w:type="dxa"/>
            <w:gridSpan w:val="2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070001</w:t>
            </w:r>
          </w:p>
        </w:tc>
        <w:tc>
          <w:tcPr>
            <w:tcW w:w="4480" w:type="dxa"/>
            <w:gridSpan w:val="5"/>
            <w:vAlign w:val="center"/>
          </w:tcPr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GNSS 数据处理</w:t>
            </w:r>
          </w:p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GNSS data processing</w:t>
            </w:r>
          </w:p>
        </w:tc>
        <w:tc>
          <w:tcPr>
            <w:tcW w:w="562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</w:t>
            </w:r>
          </w:p>
        </w:tc>
        <w:tc>
          <w:tcPr>
            <w:tcW w:w="701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515" w:type="dxa"/>
            <w:gridSpan w:val="2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070020</w:t>
            </w:r>
          </w:p>
        </w:tc>
        <w:tc>
          <w:tcPr>
            <w:tcW w:w="4480" w:type="dxa"/>
            <w:gridSpan w:val="5"/>
            <w:vAlign w:val="center"/>
          </w:tcPr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地理信息理论与新技术</w:t>
            </w:r>
          </w:p>
          <w:p>
            <w:pPr>
              <w:pStyle w:val="15"/>
              <w:tabs>
                <w:tab w:val="left" w:pos="1163"/>
                <w:tab w:val="left" w:pos="1686"/>
                <w:tab w:val="left" w:pos="2598"/>
                <w:tab w:val="left" w:pos="2973"/>
                <w:tab w:val="left" w:pos="3750"/>
              </w:tabs>
              <w:ind w:left="110" w:leftChars="50" w:right="110" w:rightChars="50"/>
              <w:rPr>
                <w:rFonts w:ascii="Times New Roman" w:hAnsi="Times New Roman" w:cs="Times New Roman" w:eastAsiaTheme="minorEastAsia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lang w:val="en-US"/>
              </w:rPr>
              <w:t>Geographic information theory and new technology</w:t>
            </w:r>
          </w:p>
        </w:tc>
        <w:tc>
          <w:tcPr>
            <w:tcW w:w="562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</w:t>
            </w:r>
          </w:p>
        </w:tc>
        <w:tc>
          <w:tcPr>
            <w:tcW w:w="701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515" w:type="dxa"/>
            <w:gridSpan w:val="2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070037</w:t>
            </w:r>
          </w:p>
        </w:tc>
        <w:tc>
          <w:tcPr>
            <w:tcW w:w="4480" w:type="dxa"/>
            <w:gridSpan w:val="5"/>
            <w:vAlign w:val="center"/>
          </w:tcPr>
          <w:p>
            <w:pPr>
              <w:pStyle w:val="15"/>
              <w:tabs>
                <w:tab w:val="left" w:pos="1163"/>
                <w:tab w:val="left" w:pos="1686"/>
                <w:tab w:val="left" w:pos="2598"/>
                <w:tab w:val="left" w:pos="2973"/>
                <w:tab w:val="left" w:pos="3750"/>
              </w:tabs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高级遥感技术</w:t>
            </w:r>
          </w:p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lang w:val="en-US"/>
              </w:rPr>
              <w:t>Advanced remote sensing technology</w:t>
            </w:r>
          </w:p>
        </w:tc>
        <w:tc>
          <w:tcPr>
            <w:tcW w:w="562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2.5</w:t>
            </w:r>
          </w:p>
        </w:tc>
        <w:tc>
          <w:tcPr>
            <w:tcW w:w="567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</w:t>
            </w:r>
          </w:p>
        </w:tc>
        <w:tc>
          <w:tcPr>
            <w:tcW w:w="701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515" w:type="dxa"/>
            <w:gridSpan w:val="2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070038</w:t>
            </w:r>
          </w:p>
        </w:tc>
        <w:tc>
          <w:tcPr>
            <w:tcW w:w="4480" w:type="dxa"/>
            <w:gridSpan w:val="5"/>
            <w:vAlign w:val="center"/>
          </w:tcPr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现代测量数据处理理论与方法</w:t>
            </w:r>
          </w:p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lang w:val="en-US"/>
              </w:rPr>
              <w:t xml:space="preserve">Modern theory and method of measurement data processing </w:t>
            </w:r>
          </w:p>
        </w:tc>
        <w:tc>
          <w:tcPr>
            <w:tcW w:w="562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2.5</w:t>
            </w:r>
          </w:p>
        </w:tc>
        <w:tc>
          <w:tcPr>
            <w:tcW w:w="567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</w:t>
            </w:r>
          </w:p>
        </w:tc>
        <w:tc>
          <w:tcPr>
            <w:tcW w:w="701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4" w:type="dxa"/>
            <w:vMerge w:val="restart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非</w:t>
            </w:r>
          </w:p>
          <w:p>
            <w:pPr>
              <w:pStyle w:val="15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学</w:t>
            </w:r>
          </w:p>
          <w:p>
            <w:pPr>
              <w:pStyle w:val="15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位</w:t>
            </w:r>
          </w:p>
          <w:p>
            <w:pPr>
              <w:pStyle w:val="15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课</w:t>
            </w:r>
          </w:p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程</w:t>
            </w:r>
          </w:p>
        </w:tc>
        <w:tc>
          <w:tcPr>
            <w:tcW w:w="1515" w:type="dxa"/>
            <w:gridSpan w:val="2"/>
            <w:vMerge w:val="restart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方向选修课程</w:t>
            </w:r>
          </w:p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≥8 学分</w:t>
            </w:r>
          </w:p>
        </w:tc>
        <w:tc>
          <w:tcPr>
            <w:tcW w:w="1014" w:type="dxa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070004</w:t>
            </w:r>
          </w:p>
        </w:tc>
        <w:tc>
          <w:tcPr>
            <w:tcW w:w="4480" w:type="dxa"/>
            <w:gridSpan w:val="5"/>
          </w:tcPr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低空摄影测量原理与应用</w:t>
            </w:r>
          </w:p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lang w:val="en-US"/>
              </w:rPr>
              <w:t>Principle and application of low altitude Photogrammetry</w:t>
            </w:r>
          </w:p>
        </w:tc>
        <w:tc>
          <w:tcPr>
            <w:tcW w:w="562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2</w:t>
            </w:r>
          </w:p>
        </w:tc>
        <w:tc>
          <w:tcPr>
            <w:tcW w:w="701" w:type="dxa"/>
            <w:vMerge w:val="restart"/>
            <w:vAlign w:val="center"/>
          </w:tcPr>
          <w:p>
            <w:pPr>
              <w:pStyle w:val="15"/>
              <w:spacing w:line="393" w:lineRule="auto"/>
              <w:ind w:left="182" w:right="132" w:hanging="4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选修1-2</w:t>
            </w:r>
          </w:p>
          <w:p>
            <w:pPr>
              <w:pStyle w:val="15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门全英文课程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515" w:type="dxa"/>
            <w:gridSpan w:val="2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070008</w:t>
            </w:r>
          </w:p>
        </w:tc>
        <w:tc>
          <w:tcPr>
            <w:tcW w:w="4480" w:type="dxa"/>
            <w:gridSpan w:val="5"/>
            <w:vAlign w:val="center"/>
          </w:tcPr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现代大地测量理论与技术</w:t>
            </w:r>
          </w:p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lang w:val="en-US"/>
              </w:rPr>
              <w:t>Modern geodetic theory and technology</w:t>
            </w:r>
          </w:p>
        </w:tc>
        <w:tc>
          <w:tcPr>
            <w:tcW w:w="562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2</w:t>
            </w:r>
          </w:p>
        </w:tc>
        <w:tc>
          <w:tcPr>
            <w:tcW w:w="701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515" w:type="dxa"/>
            <w:gridSpan w:val="2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070013</w:t>
            </w:r>
          </w:p>
        </w:tc>
        <w:tc>
          <w:tcPr>
            <w:tcW w:w="4480" w:type="dxa"/>
            <w:gridSpan w:val="5"/>
            <w:vAlign w:val="center"/>
          </w:tcPr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时间序列分析</w:t>
            </w:r>
          </w:p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Time series analysis</w:t>
            </w:r>
          </w:p>
        </w:tc>
        <w:tc>
          <w:tcPr>
            <w:tcW w:w="562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</w:rPr>
              <w:t>2</w:t>
            </w:r>
          </w:p>
        </w:tc>
        <w:tc>
          <w:tcPr>
            <w:tcW w:w="701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515" w:type="dxa"/>
            <w:gridSpan w:val="2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070014</w:t>
            </w:r>
          </w:p>
        </w:tc>
        <w:tc>
          <w:tcPr>
            <w:tcW w:w="4480" w:type="dxa"/>
            <w:gridSpan w:val="5"/>
            <w:vAlign w:val="center"/>
          </w:tcPr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小波理论及其应用</w:t>
            </w:r>
          </w:p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lang w:val="en-US"/>
              </w:rPr>
              <w:t>Wavelet theory and its application</w:t>
            </w:r>
          </w:p>
        </w:tc>
        <w:tc>
          <w:tcPr>
            <w:tcW w:w="562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2</w:t>
            </w:r>
          </w:p>
        </w:tc>
        <w:tc>
          <w:tcPr>
            <w:tcW w:w="701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515" w:type="dxa"/>
            <w:gridSpan w:val="2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070016</w:t>
            </w:r>
          </w:p>
        </w:tc>
        <w:tc>
          <w:tcPr>
            <w:tcW w:w="4480" w:type="dxa"/>
            <w:gridSpan w:val="5"/>
            <w:vAlign w:val="center"/>
          </w:tcPr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物理大地测量学</w:t>
            </w:r>
          </w:p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Physical geodesy</w:t>
            </w:r>
          </w:p>
        </w:tc>
        <w:tc>
          <w:tcPr>
            <w:tcW w:w="562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</w:rPr>
              <w:t>2</w:t>
            </w:r>
          </w:p>
        </w:tc>
        <w:tc>
          <w:tcPr>
            <w:tcW w:w="701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515" w:type="dxa"/>
            <w:gridSpan w:val="2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070017</w:t>
            </w:r>
          </w:p>
        </w:tc>
        <w:tc>
          <w:tcPr>
            <w:tcW w:w="4480" w:type="dxa"/>
            <w:gridSpan w:val="5"/>
            <w:vAlign w:val="center"/>
          </w:tcPr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海洋测绘技术与应用</w:t>
            </w:r>
          </w:p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lang w:val="en-US"/>
              </w:rPr>
              <w:t>Marine surveying and mapping technology and application</w:t>
            </w:r>
          </w:p>
        </w:tc>
        <w:tc>
          <w:tcPr>
            <w:tcW w:w="562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2</w:t>
            </w:r>
          </w:p>
        </w:tc>
        <w:tc>
          <w:tcPr>
            <w:tcW w:w="701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15" w:type="dxa"/>
            <w:gridSpan w:val="2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070018</w:t>
            </w:r>
          </w:p>
        </w:tc>
        <w:tc>
          <w:tcPr>
            <w:tcW w:w="4480" w:type="dxa"/>
            <w:gridSpan w:val="5"/>
            <w:vAlign w:val="center"/>
          </w:tcPr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地理空间数据挖掘</w:t>
            </w:r>
          </w:p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Geospatial data mining</w:t>
            </w:r>
          </w:p>
        </w:tc>
        <w:tc>
          <w:tcPr>
            <w:tcW w:w="562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2</w:t>
            </w:r>
          </w:p>
        </w:tc>
        <w:tc>
          <w:tcPr>
            <w:tcW w:w="701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15" w:type="dxa"/>
            <w:gridSpan w:val="2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070021</w:t>
            </w:r>
          </w:p>
        </w:tc>
        <w:tc>
          <w:tcPr>
            <w:tcW w:w="4480" w:type="dxa"/>
            <w:gridSpan w:val="5"/>
            <w:vAlign w:val="center"/>
          </w:tcPr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微波遥感</w:t>
            </w:r>
          </w:p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Microwave remote sensing</w:t>
            </w:r>
          </w:p>
        </w:tc>
        <w:tc>
          <w:tcPr>
            <w:tcW w:w="562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2</w:t>
            </w:r>
          </w:p>
        </w:tc>
        <w:tc>
          <w:tcPr>
            <w:tcW w:w="701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15" w:type="dxa"/>
            <w:gridSpan w:val="2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070022</w:t>
            </w:r>
          </w:p>
        </w:tc>
        <w:tc>
          <w:tcPr>
            <w:tcW w:w="4480" w:type="dxa"/>
            <w:gridSpan w:val="5"/>
            <w:vAlign w:val="center"/>
          </w:tcPr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遥感地学分析与应用</w:t>
            </w:r>
          </w:p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lang w:val="en-US"/>
              </w:rPr>
              <w:t>Remote sensing analysis and application</w:t>
            </w:r>
          </w:p>
        </w:tc>
        <w:tc>
          <w:tcPr>
            <w:tcW w:w="562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2</w:t>
            </w:r>
          </w:p>
        </w:tc>
        <w:tc>
          <w:tcPr>
            <w:tcW w:w="701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15" w:type="dxa"/>
            <w:gridSpan w:val="2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070023</w:t>
            </w:r>
          </w:p>
        </w:tc>
        <w:tc>
          <w:tcPr>
            <w:tcW w:w="4480" w:type="dxa"/>
            <w:gridSpan w:val="5"/>
            <w:vAlign w:val="center"/>
          </w:tcPr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可视化编程语言（C++）</w:t>
            </w:r>
          </w:p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Visual programming language (C++)</w:t>
            </w:r>
          </w:p>
        </w:tc>
        <w:tc>
          <w:tcPr>
            <w:tcW w:w="562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1</w:t>
            </w:r>
          </w:p>
        </w:tc>
        <w:tc>
          <w:tcPr>
            <w:tcW w:w="701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15" w:type="dxa"/>
            <w:gridSpan w:val="2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070024</w:t>
            </w:r>
          </w:p>
        </w:tc>
        <w:tc>
          <w:tcPr>
            <w:tcW w:w="4480" w:type="dxa"/>
            <w:gridSpan w:val="5"/>
            <w:vAlign w:val="center"/>
          </w:tcPr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空间信息模式识别</w:t>
            </w:r>
          </w:p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Spatial information pattern recognition</w:t>
            </w:r>
          </w:p>
        </w:tc>
        <w:tc>
          <w:tcPr>
            <w:tcW w:w="562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2</w:t>
            </w:r>
          </w:p>
        </w:tc>
        <w:tc>
          <w:tcPr>
            <w:tcW w:w="701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15" w:type="dxa"/>
            <w:gridSpan w:val="2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070028</w:t>
            </w:r>
          </w:p>
        </w:tc>
        <w:tc>
          <w:tcPr>
            <w:tcW w:w="4480" w:type="dxa"/>
            <w:gridSpan w:val="5"/>
            <w:vAlign w:val="center"/>
          </w:tcPr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三维激光扫描测量与建模</w:t>
            </w:r>
          </w:p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lang w:val="en-US"/>
              </w:rPr>
              <w:t>3D laser scanning measurement and modeling</w:t>
            </w:r>
          </w:p>
        </w:tc>
        <w:tc>
          <w:tcPr>
            <w:tcW w:w="562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2</w:t>
            </w:r>
          </w:p>
        </w:tc>
        <w:tc>
          <w:tcPr>
            <w:tcW w:w="701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15" w:type="dxa"/>
            <w:gridSpan w:val="2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070033</w:t>
            </w:r>
          </w:p>
        </w:tc>
        <w:tc>
          <w:tcPr>
            <w:tcW w:w="4480" w:type="dxa"/>
            <w:gridSpan w:val="5"/>
            <w:vAlign w:val="center"/>
          </w:tcPr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3S技术前沿（全英文）</w:t>
            </w:r>
          </w:p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3S technology frontier</w:t>
            </w:r>
          </w:p>
        </w:tc>
        <w:tc>
          <w:tcPr>
            <w:tcW w:w="562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1</w:t>
            </w:r>
          </w:p>
        </w:tc>
        <w:tc>
          <w:tcPr>
            <w:tcW w:w="701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15" w:type="dxa"/>
            <w:gridSpan w:val="2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lang w:val="en-US"/>
              </w:rPr>
              <w:t>070034</w:t>
            </w:r>
          </w:p>
        </w:tc>
        <w:tc>
          <w:tcPr>
            <w:tcW w:w="4480" w:type="dxa"/>
            <w:gridSpan w:val="5"/>
            <w:vAlign w:val="center"/>
          </w:tcPr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高性能地学计算</w:t>
            </w:r>
          </w:p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High performance geoscience computing</w:t>
            </w:r>
          </w:p>
        </w:tc>
        <w:tc>
          <w:tcPr>
            <w:tcW w:w="562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2</w:t>
            </w:r>
          </w:p>
        </w:tc>
        <w:tc>
          <w:tcPr>
            <w:tcW w:w="701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15" w:type="dxa"/>
            <w:gridSpan w:val="2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 w:eastAsiaTheme="minorEastAsia"/>
                <w:lang w:val="en-US"/>
              </w:rPr>
            </w:pPr>
            <w:r>
              <w:rPr>
                <w:rFonts w:ascii="Times New Roman" w:hAnsi="Times New Roman" w:cs="Times New Roman" w:eastAsiaTheme="minorEastAsia"/>
              </w:rPr>
              <w:t>070039</w:t>
            </w:r>
          </w:p>
        </w:tc>
        <w:tc>
          <w:tcPr>
            <w:tcW w:w="4480" w:type="dxa"/>
            <w:gridSpan w:val="5"/>
            <w:vAlign w:val="center"/>
          </w:tcPr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多模卫星导航定位与应用</w:t>
            </w:r>
          </w:p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lang w:val="en-US"/>
              </w:rPr>
              <w:t>Multimode satellite navigation and positioning and its application</w:t>
            </w:r>
          </w:p>
        </w:tc>
        <w:tc>
          <w:tcPr>
            <w:tcW w:w="562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2</w:t>
            </w:r>
          </w:p>
        </w:tc>
        <w:tc>
          <w:tcPr>
            <w:tcW w:w="701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515" w:type="dxa"/>
            <w:gridSpan w:val="2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070040</w:t>
            </w:r>
          </w:p>
        </w:tc>
        <w:tc>
          <w:tcPr>
            <w:tcW w:w="4480" w:type="dxa"/>
            <w:gridSpan w:val="5"/>
            <w:vAlign w:val="center"/>
          </w:tcPr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空间大地测量学</w:t>
            </w:r>
          </w:p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  <w:lang w:val="en-US"/>
              </w:rPr>
            </w:pPr>
            <w:r>
              <w:rPr>
                <w:rFonts w:ascii="Times New Roman" w:hAnsi="Times New Roman" w:cs="Times New Roman" w:eastAsiaTheme="minorEastAsia"/>
              </w:rPr>
              <w:t>Space geodesy</w:t>
            </w:r>
          </w:p>
        </w:tc>
        <w:tc>
          <w:tcPr>
            <w:tcW w:w="562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</w:rPr>
              <w:t>1</w:t>
            </w:r>
          </w:p>
        </w:tc>
        <w:tc>
          <w:tcPr>
            <w:tcW w:w="701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15" w:type="dxa"/>
            <w:gridSpan w:val="2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 w:eastAsiaTheme="minorEastAsia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lang w:val="en-US"/>
              </w:rPr>
              <w:t>070041</w:t>
            </w:r>
          </w:p>
        </w:tc>
        <w:tc>
          <w:tcPr>
            <w:tcW w:w="4480" w:type="dxa"/>
            <w:gridSpan w:val="5"/>
            <w:vAlign w:val="center"/>
          </w:tcPr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精密工程测量与变形监测</w:t>
            </w:r>
          </w:p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lang w:val="en-US"/>
              </w:rPr>
              <w:t>Precision engineering measurement and deformation monitoring</w:t>
            </w:r>
          </w:p>
        </w:tc>
        <w:tc>
          <w:tcPr>
            <w:tcW w:w="562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</w:rPr>
              <w:t>1</w:t>
            </w:r>
          </w:p>
        </w:tc>
        <w:tc>
          <w:tcPr>
            <w:tcW w:w="701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515" w:type="dxa"/>
            <w:gridSpan w:val="2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lang w:val="en-US"/>
              </w:rPr>
              <w:t>070042</w:t>
            </w:r>
          </w:p>
        </w:tc>
        <w:tc>
          <w:tcPr>
            <w:tcW w:w="4480" w:type="dxa"/>
            <w:gridSpan w:val="5"/>
          </w:tcPr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航空航天摄影测量</w:t>
            </w:r>
          </w:p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 xml:space="preserve">Aerospace </w:t>
            </w:r>
            <w:r>
              <w:rPr>
                <w:rFonts w:hint="eastAsia" w:ascii="Times New Roman" w:hAnsi="Times New Roman" w:cs="Times New Roman" w:eastAsiaTheme="minorEastAsia"/>
              </w:rPr>
              <w:t>p</w:t>
            </w:r>
            <w:r>
              <w:rPr>
                <w:rFonts w:ascii="Times New Roman" w:hAnsi="Times New Roman" w:cs="Times New Roman" w:eastAsiaTheme="minorEastAsia"/>
              </w:rPr>
              <w:t>hotogrammetry</w:t>
            </w:r>
          </w:p>
        </w:tc>
        <w:tc>
          <w:tcPr>
            <w:tcW w:w="562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1"/>
                <w:lang w:val="en-US"/>
              </w:rPr>
              <w:t>.5</w:t>
            </w:r>
          </w:p>
        </w:tc>
        <w:tc>
          <w:tcPr>
            <w:tcW w:w="567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1</w:t>
            </w:r>
          </w:p>
        </w:tc>
        <w:tc>
          <w:tcPr>
            <w:tcW w:w="701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515" w:type="dxa"/>
            <w:gridSpan w:val="2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lang w:val="en-US"/>
              </w:rPr>
              <w:t>070043</w:t>
            </w:r>
          </w:p>
        </w:tc>
        <w:tc>
          <w:tcPr>
            <w:tcW w:w="4480" w:type="dxa"/>
            <w:gridSpan w:val="5"/>
            <w:vAlign w:val="center"/>
          </w:tcPr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机器视觉测量</w:t>
            </w:r>
          </w:p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  <w:lang w:val="en-US"/>
              </w:rPr>
            </w:pPr>
            <w:r>
              <w:rPr>
                <w:rFonts w:ascii="Times New Roman" w:hAnsi="Times New Roman" w:cs="Times New Roman" w:eastAsiaTheme="minorEastAsia"/>
              </w:rPr>
              <w:t>Machine vision measurement</w:t>
            </w:r>
          </w:p>
        </w:tc>
        <w:tc>
          <w:tcPr>
            <w:tcW w:w="562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2</w:t>
            </w:r>
          </w:p>
        </w:tc>
        <w:tc>
          <w:tcPr>
            <w:tcW w:w="701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15" w:type="dxa"/>
            <w:gridSpan w:val="2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 w:eastAsiaTheme="minorEastAsia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lang w:val="en-US"/>
              </w:rPr>
              <w:t>070044</w:t>
            </w:r>
          </w:p>
        </w:tc>
        <w:tc>
          <w:tcPr>
            <w:tcW w:w="4480" w:type="dxa"/>
            <w:gridSpan w:val="5"/>
            <w:vAlign w:val="center"/>
          </w:tcPr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传感器集成与应用</w:t>
            </w:r>
          </w:p>
          <w:p>
            <w:pPr>
              <w:widowControl/>
              <w:autoSpaceDE/>
              <w:autoSpaceDN/>
              <w:ind w:left="50" w:right="50"/>
              <w:rPr>
                <w:rFonts w:ascii="Times New Roman" w:hAnsi="Times New Roman" w:cs="Times New Roman" w:eastAsiaTheme="minorEastAsia"/>
                <w:lang w:val="en-US"/>
              </w:rPr>
            </w:pPr>
            <w:r>
              <w:rPr>
                <w:rFonts w:ascii="Times New Roman" w:hAnsi="Times New Roman" w:cs="Times New Roman" w:eastAsiaTheme="minorEastAsia"/>
              </w:rPr>
              <w:t>Sensor integration and Application</w:t>
            </w:r>
          </w:p>
        </w:tc>
        <w:tc>
          <w:tcPr>
            <w:tcW w:w="562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2</w:t>
            </w:r>
          </w:p>
        </w:tc>
        <w:tc>
          <w:tcPr>
            <w:tcW w:w="701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15" w:type="dxa"/>
            <w:gridSpan w:val="2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 w:eastAsiaTheme="minorEastAsia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lang w:val="en-US"/>
              </w:rPr>
              <w:t>070045</w:t>
            </w:r>
          </w:p>
        </w:tc>
        <w:tc>
          <w:tcPr>
            <w:tcW w:w="4480" w:type="dxa"/>
            <w:gridSpan w:val="5"/>
            <w:vAlign w:val="center"/>
          </w:tcPr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工业测量</w:t>
            </w:r>
          </w:p>
          <w:p>
            <w:pPr>
              <w:widowControl/>
              <w:autoSpaceDE/>
              <w:autoSpaceDN/>
              <w:ind w:left="50" w:right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Industrial measurement</w:t>
            </w:r>
          </w:p>
        </w:tc>
        <w:tc>
          <w:tcPr>
            <w:tcW w:w="562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1</w:t>
            </w:r>
          </w:p>
        </w:tc>
        <w:tc>
          <w:tcPr>
            <w:tcW w:w="701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15" w:type="dxa"/>
            <w:gridSpan w:val="2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 w:eastAsiaTheme="minorEastAsia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lang w:val="en-US"/>
              </w:rPr>
              <w:t>070046</w:t>
            </w:r>
          </w:p>
        </w:tc>
        <w:tc>
          <w:tcPr>
            <w:tcW w:w="4480" w:type="dxa"/>
            <w:gridSpan w:val="5"/>
            <w:vAlign w:val="center"/>
          </w:tcPr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定量遥感</w:t>
            </w:r>
          </w:p>
          <w:p>
            <w:pPr>
              <w:widowControl/>
              <w:autoSpaceDE/>
              <w:autoSpaceDN/>
              <w:ind w:left="50" w:right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Quantitative Remote Sensing</w:t>
            </w:r>
          </w:p>
        </w:tc>
        <w:tc>
          <w:tcPr>
            <w:tcW w:w="562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2</w:t>
            </w:r>
          </w:p>
        </w:tc>
        <w:tc>
          <w:tcPr>
            <w:tcW w:w="701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15" w:type="dxa"/>
            <w:gridSpan w:val="2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 w:eastAsiaTheme="minorEastAsia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lang w:val="en-US"/>
              </w:rPr>
              <w:t>070047</w:t>
            </w:r>
          </w:p>
        </w:tc>
        <w:tc>
          <w:tcPr>
            <w:tcW w:w="4480" w:type="dxa"/>
            <w:gridSpan w:val="5"/>
            <w:vAlign w:val="center"/>
          </w:tcPr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  <w:lang w:val="en-US"/>
              </w:rPr>
            </w:pPr>
            <w:r>
              <w:rPr>
                <w:rFonts w:ascii="Times New Roman" w:hAnsi="Times New Roman" w:cs="Times New Roman" w:eastAsiaTheme="minorEastAsia"/>
              </w:rPr>
              <w:t>资源与环境遥感监测技术与应用专题</w:t>
            </w:r>
            <w:r>
              <w:rPr>
                <w:rFonts w:ascii="Times New Roman" w:hAnsi="Times New Roman" w:cs="Times New Roman" w:eastAsiaTheme="minorEastAsia"/>
                <w:lang w:val="en-US"/>
              </w:rPr>
              <w:t>（</w:t>
            </w:r>
            <w:r>
              <w:rPr>
                <w:rFonts w:ascii="Times New Roman" w:hAnsi="Times New Roman" w:cs="Times New Roman" w:eastAsiaTheme="minorEastAsia"/>
              </w:rPr>
              <w:t>农业、大气、冰冻圈等</w:t>
            </w:r>
            <w:r>
              <w:rPr>
                <w:rFonts w:ascii="Times New Roman" w:hAnsi="Times New Roman" w:cs="Times New Roman" w:eastAsiaTheme="minorEastAsia"/>
                <w:lang w:val="en-US"/>
              </w:rPr>
              <w:t>）</w:t>
            </w:r>
          </w:p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lang w:val="en-US"/>
              </w:rPr>
              <w:t>Special topics on remote sensing monitoring technology and application of resources and environment</w:t>
            </w:r>
          </w:p>
        </w:tc>
        <w:tc>
          <w:tcPr>
            <w:tcW w:w="562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lang w:val="en-US"/>
              </w:rPr>
              <w:t>2</w:t>
            </w:r>
          </w:p>
        </w:tc>
        <w:tc>
          <w:tcPr>
            <w:tcW w:w="701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15" w:type="dxa"/>
            <w:gridSpan w:val="2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 w:eastAsiaTheme="minorEastAsia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lang w:val="en-US"/>
              </w:rPr>
              <w:t>070048</w:t>
            </w:r>
          </w:p>
        </w:tc>
        <w:tc>
          <w:tcPr>
            <w:tcW w:w="4480" w:type="dxa"/>
            <w:gridSpan w:val="5"/>
            <w:vAlign w:val="center"/>
          </w:tcPr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遥感数字图像处理新技术</w:t>
            </w:r>
          </w:p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lang w:val="en-US"/>
              </w:rPr>
              <w:t>New technology of remote sensing digital image processing</w:t>
            </w:r>
          </w:p>
        </w:tc>
        <w:tc>
          <w:tcPr>
            <w:tcW w:w="562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2</w:t>
            </w:r>
          </w:p>
        </w:tc>
        <w:tc>
          <w:tcPr>
            <w:tcW w:w="701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15" w:type="dxa"/>
            <w:gridSpan w:val="2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 w:eastAsiaTheme="minorEastAsia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lang w:val="en-US"/>
              </w:rPr>
              <w:t>070049</w:t>
            </w:r>
          </w:p>
        </w:tc>
        <w:tc>
          <w:tcPr>
            <w:tcW w:w="4480" w:type="dxa"/>
            <w:gridSpan w:val="5"/>
            <w:vAlign w:val="center"/>
          </w:tcPr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热红外遥感</w:t>
            </w:r>
          </w:p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  <w:lang w:val="en-US"/>
              </w:rPr>
            </w:pPr>
            <w:r>
              <w:rPr>
                <w:rFonts w:ascii="Times New Roman" w:hAnsi="Times New Roman" w:cs="Times New Roman" w:eastAsiaTheme="minorEastAsia"/>
              </w:rPr>
              <w:t>Thermal infrared remote sensing</w:t>
            </w:r>
          </w:p>
        </w:tc>
        <w:tc>
          <w:tcPr>
            <w:tcW w:w="562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2</w:t>
            </w:r>
          </w:p>
        </w:tc>
        <w:tc>
          <w:tcPr>
            <w:tcW w:w="701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15" w:type="dxa"/>
            <w:gridSpan w:val="2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 w:eastAsiaTheme="minorEastAsia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lang w:val="en-US"/>
              </w:rPr>
              <w:t>070050</w:t>
            </w:r>
          </w:p>
        </w:tc>
        <w:tc>
          <w:tcPr>
            <w:tcW w:w="4480" w:type="dxa"/>
            <w:gridSpan w:val="5"/>
            <w:vAlign w:val="center"/>
          </w:tcPr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时空数据库原理</w:t>
            </w:r>
          </w:p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lang w:val="en-US"/>
              </w:rPr>
              <w:t>Principle of spatio-temporal database</w:t>
            </w:r>
          </w:p>
        </w:tc>
        <w:tc>
          <w:tcPr>
            <w:tcW w:w="562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1</w:t>
            </w:r>
          </w:p>
        </w:tc>
        <w:tc>
          <w:tcPr>
            <w:tcW w:w="701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15" w:type="dxa"/>
            <w:gridSpan w:val="2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 w:eastAsiaTheme="minorEastAsia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lang w:val="en-US"/>
              </w:rPr>
              <w:t>070051</w:t>
            </w:r>
          </w:p>
        </w:tc>
        <w:tc>
          <w:tcPr>
            <w:tcW w:w="4480" w:type="dxa"/>
            <w:gridSpan w:val="5"/>
            <w:vAlign w:val="center"/>
          </w:tcPr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地理信息系统设计与开发</w:t>
            </w:r>
          </w:p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lang w:val="en-US"/>
              </w:rPr>
              <w:t>Design and development of geographic information system</w:t>
            </w:r>
          </w:p>
        </w:tc>
        <w:tc>
          <w:tcPr>
            <w:tcW w:w="562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1</w:t>
            </w:r>
          </w:p>
        </w:tc>
        <w:tc>
          <w:tcPr>
            <w:tcW w:w="701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15" w:type="dxa"/>
            <w:gridSpan w:val="2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 w:eastAsiaTheme="minorEastAsia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lang w:val="en-US"/>
              </w:rPr>
              <w:t>070052</w:t>
            </w:r>
          </w:p>
        </w:tc>
        <w:tc>
          <w:tcPr>
            <w:tcW w:w="4480" w:type="dxa"/>
            <w:gridSpan w:val="5"/>
            <w:vAlign w:val="center"/>
          </w:tcPr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网络GIS与空间信息服务</w:t>
            </w:r>
          </w:p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lang w:val="en-US"/>
              </w:rPr>
              <w:t>WebGIS and spatial information service</w:t>
            </w:r>
          </w:p>
        </w:tc>
        <w:tc>
          <w:tcPr>
            <w:tcW w:w="562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2</w:t>
            </w:r>
          </w:p>
        </w:tc>
        <w:tc>
          <w:tcPr>
            <w:tcW w:w="701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15" w:type="dxa"/>
            <w:gridSpan w:val="2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 w:eastAsiaTheme="minorEastAsia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lang w:val="en-US"/>
              </w:rPr>
              <w:t>070053</w:t>
            </w:r>
          </w:p>
        </w:tc>
        <w:tc>
          <w:tcPr>
            <w:tcW w:w="4480" w:type="dxa"/>
            <w:gridSpan w:val="5"/>
            <w:vAlign w:val="center"/>
          </w:tcPr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地理数据处理与机器学习（全英文）</w:t>
            </w:r>
          </w:p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lang w:val="en-US"/>
              </w:rPr>
              <w:t xml:space="preserve">Geographic </w:t>
            </w:r>
            <w:r>
              <w:rPr>
                <w:rFonts w:hint="eastAsia" w:ascii="Times New Roman" w:hAnsi="Times New Roman" w:cs="Times New Roman" w:eastAsiaTheme="minorEastAsia"/>
                <w:lang w:val="en-US"/>
              </w:rPr>
              <w:t>d</w:t>
            </w:r>
            <w:r>
              <w:rPr>
                <w:rFonts w:ascii="Times New Roman" w:hAnsi="Times New Roman" w:cs="Times New Roman" w:eastAsiaTheme="minorEastAsia"/>
                <w:lang w:val="en-US"/>
              </w:rPr>
              <w:t xml:space="preserve">ata </w:t>
            </w:r>
            <w:r>
              <w:rPr>
                <w:rFonts w:hint="eastAsia" w:ascii="Times New Roman" w:hAnsi="Times New Roman" w:cs="Times New Roman" w:eastAsiaTheme="minorEastAsia"/>
                <w:lang w:val="en-US"/>
              </w:rPr>
              <w:t>p</w:t>
            </w:r>
            <w:r>
              <w:rPr>
                <w:rFonts w:ascii="Times New Roman" w:hAnsi="Times New Roman" w:cs="Times New Roman" w:eastAsiaTheme="minorEastAsia"/>
                <w:lang w:val="en-US"/>
              </w:rPr>
              <w:t>rocessing and machine learning</w:t>
            </w:r>
          </w:p>
        </w:tc>
        <w:tc>
          <w:tcPr>
            <w:tcW w:w="562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2</w:t>
            </w:r>
          </w:p>
        </w:tc>
        <w:tc>
          <w:tcPr>
            <w:tcW w:w="701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15" w:type="dxa"/>
            <w:gridSpan w:val="2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 w:eastAsiaTheme="minorEastAsia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lang w:val="en-US"/>
              </w:rPr>
              <w:t>070054</w:t>
            </w:r>
          </w:p>
        </w:tc>
        <w:tc>
          <w:tcPr>
            <w:tcW w:w="4480" w:type="dxa"/>
            <w:gridSpan w:val="5"/>
            <w:vAlign w:val="center"/>
          </w:tcPr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地理空间分析与建模</w:t>
            </w:r>
          </w:p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  <w:lang w:val="en-US"/>
              </w:rPr>
            </w:pPr>
            <w:r>
              <w:rPr>
                <w:rFonts w:ascii="Times New Roman" w:hAnsi="Times New Roman" w:cs="Times New Roman" w:eastAsiaTheme="minorEastAsia"/>
              </w:rPr>
              <w:t xml:space="preserve">Geospatial </w:t>
            </w:r>
            <w:r>
              <w:rPr>
                <w:rFonts w:hint="eastAsia" w:ascii="Times New Roman" w:hAnsi="Times New Roman" w:cs="Times New Roman" w:eastAsiaTheme="minorEastAsia"/>
              </w:rPr>
              <w:t>a</w:t>
            </w:r>
            <w:r>
              <w:rPr>
                <w:rFonts w:ascii="Times New Roman" w:hAnsi="Times New Roman" w:cs="Times New Roman" w:eastAsiaTheme="minorEastAsia"/>
              </w:rPr>
              <w:t xml:space="preserve">nalysis and </w:t>
            </w:r>
            <w:r>
              <w:rPr>
                <w:rFonts w:hint="eastAsia" w:ascii="Times New Roman" w:hAnsi="Times New Roman" w:cs="Times New Roman" w:eastAsiaTheme="minorEastAsia"/>
              </w:rPr>
              <w:t>m</w:t>
            </w:r>
            <w:r>
              <w:rPr>
                <w:rFonts w:ascii="Times New Roman" w:hAnsi="Times New Roman" w:cs="Times New Roman" w:eastAsiaTheme="minorEastAsia"/>
              </w:rPr>
              <w:t>odeling</w:t>
            </w:r>
          </w:p>
        </w:tc>
        <w:tc>
          <w:tcPr>
            <w:tcW w:w="562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2</w:t>
            </w:r>
          </w:p>
        </w:tc>
        <w:tc>
          <w:tcPr>
            <w:tcW w:w="701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15" w:type="dxa"/>
            <w:gridSpan w:val="2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 w:eastAsiaTheme="minorEastAsia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lang w:val="en-US"/>
              </w:rPr>
              <w:t>070055</w:t>
            </w:r>
          </w:p>
        </w:tc>
        <w:tc>
          <w:tcPr>
            <w:tcW w:w="4480" w:type="dxa"/>
            <w:gridSpan w:val="5"/>
            <w:vAlign w:val="center"/>
          </w:tcPr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现代地图学理论与技术</w:t>
            </w:r>
          </w:p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lang w:val="en-US"/>
              </w:rPr>
              <w:t>Theory and technology of modern cartography</w:t>
            </w:r>
          </w:p>
        </w:tc>
        <w:tc>
          <w:tcPr>
            <w:tcW w:w="562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2</w:t>
            </w:r>
          </w:p>
        </w:tc>
        <w:tc>
          <w:tcPr>
            <w:tcW w:w="701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15" w:type="dxa"/>
            <w:gridSpan w:val="2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 w:eastAsiaTheme="minorEastAsia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lang w:val="en-US"/>
              </w:rPr>
              <w:t>070071</w:t>
            </w:r>
          </w:p>
        </w:tc>
        <w:tc>
          <w:tcPr>
            <w:tcW w:w="4480" w:type="dxa"/>
            <w:gridSpan w:val="5"/>
          </w:tcPr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高光谱遥感技术与应用</w:t>
            </w:r>
          </w:p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lang w:val="en-US"/>
              </w:rPr>
              <w:t xml:space="preserve">Hyperspectral remote sensing technology and </w:t>
            </w:r>
            <w:r>
              <w:rPr>
                <w:rFonts w:hint="eastAsia" w:ascii="Times New Roman" w:hAnsi="Times New Roman" w:cs="Times New Roman" w:eastAsiaTheme="minorEastAsia"/>
                <w:lang w:val="en-US"/>
              </w:rPr>
              <w:t>a</w:t>
            </w:r>
            <w:r>
              <w:rPr>
                <w:rFonts w:ascii="Times New Roman" w:hAnsi="Times New Roman" w:cs="Times New Roman" w:eastAsiaTheme="minorEastAsia"/>
                <w:lang w:val="en-US"/>
              </w:rPr>
              <w:t>pplication</w:t>
            </w:r>
          </w:p>
        </w:tc>
        <w:tc>
          <w:tcPr>
            <w:tcW w:w="562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2</w:t>
            </w:r>
          </w:p>
        </w:tc>
        <w:tc>
          <w:tcPr>
            <w:tcW w:w="701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15" w:type="dxa"/>
            <w:gridSpan w:val="2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G11001</w:t>
            </w:r>
          </w:p>
        </w:tc>
        <w:tc>
          <w:tcPr>
            <w:tcW w:w="4480" w:type="dxa"/>
            <w:gridSpan w:val="5"/>
          </w:tcPr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数值分析</w:t>
            </w:r>
          </w:p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Numerical analysis</w:t>
            </w:r>
          </w:p>
        </w:tc>
        <w:tc>
          <w:tcPr>
            <w:tcW w:w="562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</w:t>
            </w:r>
          </w:p>
        </w:tc>
        <w:tc>
          <w:tcPr>
            <w:tcW w:w="701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515" w:type="dxa"/>
            <w:gridSpan w:val="2"/>
            <w:vMerge w:val="restart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素养选修课程</w:t>
            </w:r>
          </w:p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1 学分</w:t>
            </w:r>
          </w:p>
        </w:tc>
        <w:tc>
          <w:tcPr>
            <w:tcW w:w="1014" w:type="dxa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G02010</w:t>
            </w:r>
          </w:p>
        </w:tc>
        <w:tc>
          <w:tcPr>
            <w:tcW w:w="4480" w:type="dxa"/>
            <w:gridSpan w:val="5"/>
          </w:tcPr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科技英语写作</w:t>
            </w:r>
          </w:p>
          <w:p>
            <w:pPr>
              <w:pStyle w:val="15"/>
              <w:spacing w:line="247" w:lineRule="exact"/>
              <w:ind w:left="110" w:leftChars="50" w:right="110" w:rightChars="5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Scientific English writing</w:t>
            </w:r>
          </w:p>
        </w:tc>
        <w:tc>
          <w:tcPr>
            <w:tcW w:w="562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</w:t>
            </w:r>
          </w:p>
        </w:tc>
        <w:tc>
          <w:tcPr>
            <w:tcW w:w="701" w:type="dxa"/>
            <w:vMerge w:val="restart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515" w:type="dxa"/>
            <w:gridSpan w:val="2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</w:rPr>
              <w:t>G02060</w:t>
            </w:r>
          </w:p>
        </w:tc>
        <w:tc>
          <w:tcPr>
            <w:tcW w:w="4480" w:type="dxa"/>
            <w:gridSpan w:val="5"/>
          </w:tcPr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科研素养与创新能力</w:t>
            </w:r>
          </w:p>
          <w:p>
            <w:pPr>
              <w:ind w:left="110" w:leftChars="50" w:right="110" w:rightChars="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</w:rPr>
              <w:t>Scientific research accomplishment and innovation ability</w:t>
            </w:r>
          </w:p>
        </w:tc>
        <w:tc>
          <w:tcPr>
            <w:tcW w:w="562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</w:pPr>
            <w:r>
              <w:rPr>
                <w:rFonts w:ascii="Times New Roman" w:hAnsi="Times New Roman" w:cs="Times New Roman"/>
                <w:sz w:val="21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</w:t>
            </w:r>
          </w:p>
        </w:tc>
        <w:tc>
          <w:tcPr>
            <w:tcW w:w="701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515" w:type="dxa"/>
            <w:gridSpan w:val="2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G05024</w:t>
            </w:r>
          </w:p>
        </w:tc>
        <w:tc>
          <w:tcPr>
            <w:tcW w:w="4480" w:type="dxa"/>
            <w:gridSpan w:val="5"/>
          </w:tcPr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计算机科学前沿技术应用系列讲座</w:t>
            </w:r>
          </w:p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lang w:val="en-US"/>
              </w:rPr>
              <w:t>Computer science advanced technology applications lecture series</w:t>
            </w:r>
          </w:p>
        </w:tc>
        <w:tc>
          <w:tcPr>
            <w:tcW w:w="562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</w:t>
            </w:r>
          </w:p>
        </w:tc>
        <w:tc>
          <w:tcPr>
            <w:tcW w:w="701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515" w:type="dxa"/>
            <w:gridSpan w:val="2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G15001</w:t>
            </w:r>
          </w:p>
        </w:tc>
        <w:tc>
          <w:tcPr>
            <w:tcW w:w="4480" w:type="dxa"/>
            <w:gridSpan w:val="5"/>
          </w:tcPr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东方哲学与现代化</w:t>
            </w:r>
          </w:p>
          <w:p>
            <w:pPr>
              <w:pStyle w:val="15"/>
              <w:tabs>
                <w:tab w:val="left" w:pos="1305"/>
                <w:tab w:val="left" w:pos="2314"/>
                <w:tab w:val="left" w:pos="3485"/>
              </w:tabs>
              <w:ind w:left="110" w:leftChars="50" w:right="110" w:rightChars="50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</w:rPr>
              <w:t>Eastern philosophy and modernization</w:t>
            </w:r>
          </w:p>
        </w:tc>
        <w:tc>
          <w:tcPr>
            <w:tcW w:w="562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</w:t>
            </w:r>
          </w:p>
        </w:tc>
        <w:tc>
          <w:tcPr>
            <w:tcW w:w="701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515" w:type="dxa"/>
            <w:gridSpan w:val="2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</w:rPr>
              <w:t>G19003</w:t>
            </w:r>
          </w:p>
        </w:tc>
        <w:tc>
          <w:tcPr>
            <w:tcW w:w="4480" w:type="dxa"/>
            <w:gridSpan w:val="5"/>
            <w:vAlign w:val="center"/>
          </w:tcPr>
          <w:p>
            <w:pPr>
              <w:ind w:left="110" w:leftChars="50" w:right="110" w:rightChars="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设计鉴赏</w:t>
            </w:r>
          </w:p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</w:rPr>
              <w:t>Design Appreciation</w:t>
            </w:r>
          </w:p>
        </w:tc>
        <w:tc>
          <w:tcPr>
            <w:tcW w:w="562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t>1</w:t>
            </w:r>
          </w:p>
        </w:tc>
        <w:tc>
          <w:tcPr>
            <w:tcW w:w="567" w:type="dxa"/>
            <w:vAlign w:val="center"/>
          </w:tcPr>
          <w:p>
            <w:pPr>
              <w:pStyle w:val="15"/>
              <w:ind w:left="110" w:leftChars="50" w:right="110" w:rightChars="5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</w:t>
            </w:r>
          </w:p>
        </w:tc>
        <w:tc>
          <w:tcPr>
            <w:tcW w:w="701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515" w:type="dxa"/>
            <w:gridSpan w:val="2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</w:rPr>
              <w:t>G21002</w:t>
            </w:r>
          </w:p>
        </w:tc>
        <w:tc>
          <w:tcPr>
            <w:tcW w:w="4480" w:type="dxa"/>
            <w:gridSpan w:val="5"/>
            <w:vAlign w:val="center"/>
          </w:tcPr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羽毛球</w:t>
            </w:r>
          </w:p>
          <w:p>
            <w:pPr>
              <w:ind w:left="110" w:leftChars="50" w:right="110" w:rightChars="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</w:rPr>
              <w:t>Badminton</w:t>
            </w:r>
          </w:p>
        </w:tc>
        <w:tc>
          <w:tcPr>
            <w:tcW w:w="562" w:type="dxa"/>
            <w:vAlign w:val="center"/>
          </w:tcPr>
          <w:p>
            <w:pPr>
              <w:ind w:left="110" w:leftChars="50" w:right="110" w:rightChars="5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>
            <w:pPr>
              <w:ind w:left="110" w:leftChars="50" w:right="110" w:rightChars="50"/>
              <w:jc w:val="center"/>
            </w:pPr>
            <w:r>
              <w:rPr>
                <w:rFonts w:ascii="Times New Roman" w:hAnsi="Times New Roman" w:cs="Times New Roman"/>
                <w:sz w:val="21"/>
              </w:rPr>
              <w:t>2</w:t>
            </w:r>
          </w:p>
        </w:tc>
        <w:tc>
          <w:tcPr>
            <w:tcW w:w="701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4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515" w:type="dxa"/>
            <w:gridSpan w:val="2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</w:rPr>
              <w:t>G20004</w:t>
            </w:r>
          </w:p>
        </w:tc>
        <w:tc>
          <w:tcPr>
            <w:tcW w:w="4480" w:type="dxa"/>
            <w:gridSpan w:val="5"/>
            <w:vAlign w:val="center"/>
          </w:tcPr>
          <w:p>
            <w:pPr>
              <w:ind w:left="110" w:leftChars="50" w:right="110" w:rightChars="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钢琴演奏基础十六课</w:t>
            </w:r>
          </w:p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lang w:val="en-US"/>
              </w:rPr>
              <w:t>Sixteen Lessons in Piano Performance</w:t>
            </w:r>
          </w:p>
        </w:tc>
        <w:tc>
          <w:tcPr>
            <w:tcW w:w="562" w:type="dxa"/>
            <w:vAlign w:val="center"/>
          </w:tcPr>
          <w:p>
            <w:pPr>
              <w:ind w:left="110" w:leftChars="50" w:right="110" w:rightChars="5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>
            <w:pPr>
              <w:ind w:left="110" w:leftChars="50" w:right="110" w:rightChars="50"/>
              <w:jc w:val="center"/>
            </w:pPr>
            <w:r>
              <w:rPr>
                <w:rFonts w:ascii="Times New Roman" w:hAnsi="Times New Roman" w:cs="Times New Roman"/>
                <w:sz w:val="21"/>
              </w:rPr>
              <w:t>2</w:t>
            </w:r>
          </w:p>
        </w:tc>
        <w:tc>
          <w:tcPr>
            <w:tcW w:w="701" w:type="dxa"/>
            <w:vMerge w:val="continue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4" w:type="dxa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其他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补修课程</w:t>
            </w:r>
          </w:p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不计学分</w:t>
            </w:r>
          </w:p>
        </w:tc>
        <w:tc>
          <w:tcPr>
            <w:tcW w:w="6623" w:type="dxa"/>
            <w:gridSpan w:val="8"/>
            <w:vAlign w:val="center"/>
          </w:tcPr>
          <w:p>
            <w:pPr>
              <w:pStyle w:val="15"/>
              <w:tabs>
                <w:tab w:val="left" w:pos="426"/>
              </w:tabs>
              <w:ind w:left="110" w:leftChars="50" w:right="110" w:rightChars="50"/>
              <w:jc w:val="both"/>
              <w:rPr>
                <w:rFonts w:cs="Times New Roman"/>
                <w:bCs/>
                <w:sz w:val="21"/>
              </w:rPr>
            </w:pPr>
            <w:r>
              <w:rPr>
                <w:rFonts w:hint="eastAsia" w:cs="Times New Roman"/>
                <w:bCs/>
                <w:sz w:val="21"/>
              </w:rPr>
              <w:t>跨学科攻读学位研究生补修</w:t>
            </w:r>
            <w:r>
              <w:rPr>
                <w:rFonts w:cs="Times New Roman"/>
                <w:bCs/>
                <w:sz w:val="21"/>
              </w:rPr>
              <w:t>2门及以上专业基础课程</w:t>
            </w:r>
            <w:r>
              <w:rPr>
                <w:rFonts w:hint="eastAsia" w:cs="Times New Roman"/>
                <w:bCs/>
                <w:sz w:val="21"/>
              </w:rPr>
              <w:t>；</w:t>
            </w:r>
          </w:p>
          <w:p>
            <w:pPr>
              <w:pStyle w:val="15"/>
              <w:tabs>
                <w:tab w:val="left" w:pos="426"/>
              </w:tabs>
              <w:ind w:left="110" w:leftChars="50" w:right="110" w:rightChars="50"/>
              <w:jc w:val="both"/>
              <w:rPr>
                <w:rFonts w:cs="Times New Roman"/>
                <w:b/>
                <w:sz w:val="21"/>
              </w:rPr>
            </w:pPr>
            <w:r>
              <w:rPr>
                <w:rFonts w:hint="eastAsia" w:cs="Times New Roman"/>
                <w:bCs/>
                <w:sz w:val="21"/>
              </w:rPr>
              <w:t>具体课程由导师确定。</w:t>
            </w:r>
          </w:p>
        </w:tc>
        <w:tc>
          <w:tcPr>
            <w:tcW w:w="701" w:type="dxa"/>
            <w:vAlign w:val="center"/>
          </w:tcPr>
          <w:p>
            <w:pPr>
              <w:pStyle w:val="15"/>
              <w:spacing w:before="137"/>
              <w:ind w:left="133"/>
              <w:rPr>
                <w:rFonts w:cs="Times New Roman"/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293" w:type="dxa"/>
            <w:gridSpan w:val="12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其他培养环节（6 学分）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69" w:type="dxa"/>
            <w:gridSpan w:val="3"/>
          </w:tcPr>
          <w:p>
            <w:pPr>
              <w:pStyle w:val="15"/>
              <w:tabs>
                <w:tab w:val="left" w:pos="426"/>
              </w:tabs>
              <w:spacing w:before="109"/>
              <w:ind w:left="4"/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培养环节</w:t>
            </w:r>
          </w:p>
        </w:tc>
        <w:tc>
          <w:tcPr>
            <w:tcW w:w="5494" w:type="dxa"/>
            <w:gridSpan w:val="6"/>
          </w:tcPr>
          <w:p>
            <w:pPr>
              <w:pStyle w:val="15"/>
              <w:tabs>
                <w:tab w:val="left" w:pos="426"/>
              </w:tabs>
              <w:spacing w:before="109"/>
              <w:ind w:left="4" w:right="2822"/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相关内容及要求</w:t>
            </w:r>
          </w:p>
        </w:tc>
        <w:tc>
          <w:tcPr>
            <w:tcW w:w="1129" w:type="dxa"/>
            <w:gridSpan w:val="2"/>
          </w:tcPr>
          <w:p>
            <w:pPr>
              <w:pStyle w:val="15"/>
              <w:tabs>
                <w:tab w:val="left" w:pos="426"/>
              </w:tabs>
              <w:spacing w:before="109"/>
              <w:ind w:left="4" w:right="116"/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学期</w:t>
            </w:r>
          </w:p>
        </w:tc>
        <w:tc>
          <w:tcPr>
            <w:tcW w:w="701" w:type="dxa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69" w:type="dxa"/>
            <w:gridSpan w:val="3"/>
            <w:vAlign w:val="center"/>
          </w:tcPr>
          <w:p>
            <w:pPr>
              <w:pStyle w:val="15"/>
              <w:tabs>
                <w:tab w:val="left" w:pos="426"/>
              </w:tabs>
              <w:ind w:left="6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开题报告</w:t>
            </w:r>
          </w:p>
          <w:p>
            <w:pPr>
              <w:pStyle w:val="15"/>
              <w:tabs>
                <w:tab w:val="left" w:pos="426"/>
              </w:tabs>
              <w:ind w:left="6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（1 学分）</w:t>
            </w:r>
          </w:p>
        </w:tc>
        <w:tc>
          <w:tcPr>
            <w:tcW w:w="5494" w:type="dxa"/>
            <w:gridSpan w:val="6"/>
            <w:vAlign w:val="center"/>
          </w:tcPr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完成开题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2-3</w:t>
            </w:r>
          </w:p>
        </w:tc>
        <w:tc>
          <w:tcPr>
            <w:tcW w:w="701" w:type="dxa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69" w:type="dxa"/>
            <w:gridSpan w:val="3"/>
            <w:vAlign w:val="center"/>
          </w:tcPr>
          <w:p>
            <w:pPr>
              <w:pStyle w:val="15"/>
              <w:tabs>
                <w:tab w:val="left" w:pos="426"/>
              </w:tabs>
              <w:ind w:left="6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中期考核</w:t>
            </w:r>
          </w:p>
          <w:p>
            <w:pPr>
              <w:pStyle w:val="15"/>
              <w:tabs>
                <w:tab w:val="left" w:pos="426"/>
              </w:tabs>
              <w:ind w:left="6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（1 学分）</w:t>
            </w:r>
          </w:p>
        </w:tc>
        <w:tc>
          <w:tcPr>
            <w:tcW w:w="5494" w:type="dxa"/>
            <w:gridSpan w:val="6"/>
            <w:vAlign w:val="center"/>
          </w:tcPr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</w:rPr>
              <w:t>通过</w:t>
            </w:r>
            <w:r>
              <w:rPr>
                <w:rFonts w:ascii="Times New Roman" w:hAnsi="Times New Roman" w:cs="Times New Roman"/>
                <w:sz w:val="21"/>
              </w:rPr>
              <w:t>中期考核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3-4</w:t>
            </w:r>
          </w:p>
        </w:tc>
        <w:tc>
          <w:tcPr>
            <w:tcW w:w="701" w:type="dxa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69" w:type="dxa"/>
            <w:gridSpan w:val="3"/>
            <w:vAlign w:val="center"/>
          </w:tcPr>
          <w:p>
            <w:pPr>
              <w:pStyle w:val="15"/>
              <w:tabs>
                <w:tab w:val="left" w:pos="426"/>
              </w:tabs>
              <w:ind w:left="6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实习实践</w:t>
            </w:r>
          </w:p>
          <w:p>
            <w:pPr>
              <w:pStyle w:val="15"/>
              <w:tabs>
                <w:tab w:val="left" w:pos="426"/>
              </w:tabs>
              <w:ind w:left="6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（2 学分）</w:t>
            </w:r>
          </w:p>
        </w:tc>
        <w:tc>
          <w:tcPr>
            <w:tcW w:w="5494" w:type="dxa"/>
            <w:gridSpan w:val="6"/>
            <w:vAlign w:val="center"/>
          </w:tcPr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</w:rPr>
              <w:t>完成</w:t>
            </w:r>
            <w:r>
              <w:rPr>
                <w:rFonts w:ascii="Times New Roman" w:hAnsi="Times New Roman" w:cs="Times New Roman"/>
                <w:sz w:val="21"/>
              </w:rPr>
              <w:t>教学实践</w:t>
            </w:r>
            <w:r>
              <w:rPr>
                <w:rFonts w:hint="eastAsia" w:ascii="Times New Roman" w:hAnsi="Times New Roman" w:cs="Times New Roman"/>
                <w:sz w:val="21"/>
              </w:rPr>
              <w:t>和</w:t>
            </w:r>
            <w:r>
              <w:rPr>
                <w:rFonts w:ascii="Times New Roman" w:hAnsi="Times New Roman" w:cs="Times New Roman"/>
                <w:sz w:val="21"/>
              </w:rPr>
              <w:t>专业实践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pStyle w:val="15"/>
              <w:ind w:left="115" w:right="115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1-5</w:t>
            </w:r>
          </w:p>
        </w:tc>
        <w:tc>
          <w:tcPr>
            <w:tcW w:w="701" w:type="dxa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69" w:type="dxa"/>
            <w:gridSpan w:val="3"/>
            <w:vAlign w:val="center"/>
          </w:tcPr>
          <w:p>
            <w:pPr>
              <w:pStyle w:val="15"/>
              <w:tabs>
                <w:tab w:val="left" w:pos="426"/>
              </w:tabs>
              <w:ind w:left="6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创新创业</w:t>
            </w:r>
          </w:p>
          <w:p>
            <w:pPr>
              <w:pStyle w:val="15"/>
              <w:tabs>
                <w:tab w:val="left" w:pos="426"/>
              </w:tabs>
              <w:ind w:left="6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（2 学分）</w:t>
            </w:r>
          </w:p>
        </w:tc>
        <w:tc>
          <w:tcPr>
            <w:tcW w:w="5494" w:type="dxa"/>
            <w:gridSpan w:val="6"/>
            <w:vAlign w:val="center"/>
          </w:tcPr>
          <w:p>
            <w:pPr>
              <w:pStyle w:val="15"/>
              <w:tabs>
                <w:tab w:val="left" w:pos="691"/>
              </w:tabs>
              <w:ind w:left="110" w:leftChars="50" w:right="110" w:rightChars="5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1.</w:t>
            </w:r>
            <w:r>
              <w:rPr>
                <w:rFonts w:hint="eastAsia" w:ascii="Times New Roman" w:hAnsi="Times New Roman" w:cs="Times New Roman"/>
                <w:sz w:val="21"/>
              </w:rPr>
              <w:t>进行</w:t>
            </w:r>
            <w:r>
              <w:rPr>
                <w:rFonts w:ascii="Times New Roman" w:hAnsi="Times New Roman" w:cs="Times New Roman"/>
                <w:sz w:val="21"/>
              </w:rPr>
              <w:t>3</w:t>
            </w:r>
            <w:r>
              <w:rPr>
                <w:rFonts w:hint="eastAsia" w:ascii="Times New Roman" w:hAnsi="Times New Roman" w:cs="Times New Roman"/>
                <w:sz w:val="21"/>
              </w:rPr>
              <w:t>个月以上的出国访学研修或学术交流；</w:t>
            </w:r>
          </w:p>
          <w:p>
            <w:pPr>
              <w:pStyle w:val="15"/>
              <w:tabs>
                <w:tab w:val="left" w:pos="691"/>
              </w:tabs>
              <w:ind w:left="110" w:leftChars="50" w:right="110" w:rightChars="5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2.</w:t>
            </w:r>
            <w:r>
              <w:rPr>
                <w:rFonts w:hint="eastAsia" w:ascii="Times New Roman" w:hAnsi="Times New Roman" w:cs="Times New Roman"/>
                <w:sz w:val="21"/>
              </w:rPr>
              <w:t>参加学术会议并宣读论文，或做公开学术报告</w:t>
            </w:r>
            <w:r>
              <w:rPr>
                <w:rFonts w:ascii="Times New Roman" w:hAnsi="Times New Roman" w:cs="Times New Roman"/>
                <w:sz w:val="21"/>
              </w:rPr>
              <w:t>2</w:t>
            </w:r>
            <w:r>
              <w:rPr>
                <w:rFonts w:hint="eastAsia" w:ascii="Times New Roman" w:hAnsi="Times New Roman" w:cs="Times New Roman"/>
                <w:sz w:val="21"/>
              </w:rPr>
              <w:t>次；</w:t>
            </w:r>
          </w:p>
          <w:p>
            <w:pPr>
              <w:pStyle w:val="15"/>
              <w:tabs>
                <w:tab w:val="left" w:pos="691"/>
              </w:tabs>
              <w:ind w:left="110" w:leftChars="50" w:right="110" w:rightChars="5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3.</w:t>
            </w:r>
            <w:r>
              <w:rPr>
                <w:rFonts w:hint="eastAsia" w:ascii="Times New Roman" w:hAnsi="Times New Roman" w:cs="Times New Roman"/>
                <w:sz w:val="21"/>
              </w:rPr>
              <w:t>参加全国性的科技竞赛、创意设计、创新创业竞赛等；</w:t>
            </w:r>
          </w:p>
          <w:p>
            <w:pPr>
              <w:pStyle w:val="15"/>
              <w:tabs>
                <w:tab w:val="left" w:pos="691"/>
              </w:tabs>
              <w:ind w:left="110" w:leftChars="50" w:right="110" w:rightChars="5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4.</w:t>
            </w:r>
            <w:r>
              <w:rPr>
                <w:rFonts w:hint="eastAsia" w:ascii="Times New Roman" w:hAnsi="Times New Roman" w:cs="Times New Roman"/>
                <w:sz w:val="21"/>
              </w:rPr>
              <w:t>参加</w:t>
            </w:r>
            <w:r>
              <w:rPr>
                <w:rFonts w:ascii="Times New Roman" w:hAnsi="Times New Roman" w:cs="Times New Roman"/>
                <w:sz w:val="21"/>
              </w:rPr>
              <w:t xml:space="preserve"> 6</w:t>
            </w:r>
            <w:r>
              <w:rPr>
                <w:rFonts w:hint="eastAsia" w:ascii="Times New Roman" w:hAnsi="Times New Roman" w:cs="Times New Roman"/>
                <w:sz w:val="21"/>
              </w:rPr>
              <w:t>次以上与本学科相关的学术报告，并提交总结；</w:t>
            </w:r>
          </w:p>
          <w:p>
            <w:pPr>
              <w:pStyle w:val="15"/>
              <w:ind w:left="110" w:leftChars="50" w:right="110" w:rightChars="50"/>
              <w:rPr>
                <w:rFonts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</w:rPr>
              <w:t>每项记</w:t>
            </w:r>
            <w:r>
              <w:rPr>
                <w:rFonts w:ascii="Times New Roman" w:hAnsi="Times New Roman" w:cs="Times New Roman"/>
                <w:sz w:val="21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</w:rPr>
              <w:t>学分，需完成</w:t>
            </w:r>
            <w:r>
              <w:rPr>
                <w:rFonts w:ascii="Times New Roman" w:hAnsi="Times New Roman" w:cs="Times New Roman"/>
                <w:sz w:val="21"/>
              </w:rPr>
              <w:t xml:space="preserve"> 2 </w:t>
            </w:r>
            <w:r>
              <w:rPr>
                <w:rFonts w:hint="eastAsia" w:ascii="Times New Roman" w:hAnsi="Times New Roman" w:cs="Times New Roman"/>
                <w:sz w:val="21"/>
              </w:rPr>
              <w:t>学分。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pStyle w:val="15"/>
              <w:spacing w:before="164"/>
              <w:ind w:left="115" w:right="115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1-5</w:t>
            </w:r>
          </w:p>
        </w:tc>
        <w:tc>
          <w:tcPr>
            <w:tcW w:w="701" w:type="dxa"/>
            <w:vAlign w:val="center"/>
          </w:tcPr>
          <w:p>
            <w:pPr>
              <w:pStyle w:val="15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69" w:type="dxa"/>
            <w:gridSpan w:val="3"/>
            <w:vAlign w:val="center"/>
          </w:tcPr>
          <w:p>
            <w:pPr>
              <w:pStyle w:val="15"/>
              <w:tabs>
                <w:tab w:val="left" w:pos="426"/>
              </w:tabs>
              <w:spacing w:before="109"/>
              <w:ind w:left="4"/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培养单位</w:t>
            </w:r>
          </w:p>
          <w:p>
            <w:pPr>
              <w:pStyle w:val="15"/>
              <w:tabs>
                <w:tab w:val="left" w:pos="426"/>
              </w:tabs>
              <w:spacing w:before="109"/>
              <w:ind w:left="4"/>
              <w:jc w:val="center"/>
              <w:rPr>
                <w:rFonts w:ascii="Times New Roman" w:hAnsi="Times New Roman" w:eastAsia="Microsoft JhengHei"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教授委员会主任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pStyle w:val="15"/>
              <w:ind w:left="718"/>
              <w:rPr>
                <w:rFonts w:ascii="Times New Roman" w:hAnsi="Times New Roman" w:cs="Times New Roman"/>
                <w:sz w:val="20"/>
              </w:rPr>
            </w:pPr>
            <w:r>
              <w:drawing>
                <wp:inline distT="0" distB="0" distL="114300" distR="114300">
                  <wp:extent cx="1149350" cy="595630"/>
                  <wp:effectExtent l="0" t="0" r="12700" b="1397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350" cy="59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6" w:name="_GoBack"/>
            <w:bookmarkEnd w:id="6"/>
          </w:p>
        </w:tc>
        <w:tc>
          <w:tcPr>
            <w:tcW w:w="1843" w:type="dxa"/>
            <w:gridSpan w:val="2"/>
            <w:vAlign w:val="center"/>
          </w:tcPr>
          <w:p>
            <w:pPr>
              <w:pStyle w:val="15"/>
              <w:tabs>
                <w:tab w:val="left" w:pos="426"/>
              </w:tabs>
              <w:spacing w:before="109"/>
              <w:ind w:left="4"/>
              <w:jc w:val="center"/>
              <w:rPr>
                <w:rFonts w:ascii="Times New Roman" w:hAnsi="Times New Roman" w:eastAsia="Microsoft JhengHei"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培养单位负责人</w:t>
            </w:r>
          </w:p>
        </w:tc>
        <w:tc>
          <w:tcPr>
            <w:tcW w:w="2743" w:type="dxa"/>
            <w:gridSpan w:val="5"/>
            <w:vAlign w:val="center"/>
          </w:tcPr>
          <w:p>
            <w:pPr>
              <w:pStyle w:val="15"/>
              <w:ind w:left="24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drawing>
                <wp:inline distT="0" distB="0" distL="0" distR="0">
                  <wp:extent cx="1191260" cy="642620"/>
                  <wp:effectExtent l="0" t="0" r="0" b="0"/>
                  <wp:docPr id="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.p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861" cy="642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both"/>
      </w:pPr>
    </w:p>
    <w:sectPr>
      <w:headerReference r:id="rId8" w:type="default"/>
      <w:footerReference r:id="rId9" w:type="default"/>
      <w:pgSz w:w="11900" w:h="16840"/>
      <w:pgMar w:top="720" w:right="720" w:bottom="720" w:left="720" w:header="1163" w:footer="1255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"/>
      <w:ind w:left="40"/>
      <w:rPr>
        <w:rFonts w:ascii="Times New Roman"/>
        <w:sz w:val="21"/>
      </w:rPr>
    </w:pPr>
  </w:p>
  <w:p>
    <w:pPr>
      <w:pStyle w:val="5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mirrorMargins w:val="1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0"/>
  <w:displayVerticalDrawingGridEvery w:val="2"/>
  <w:characterSpacingControl w:val="doNotCompress"/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4YjM1OTA5MDc0NGZkNTAxODc3ZWY4NzFhOGY2ZTYifQ=="/>
  </w:docVars>
  <w:rsids>
    <w:rsidRoot w:val="003F43C2"/>
    <w:rsid w:val="00010C3C"/>
    <w:rsid w:val="00031903"/>
    <w:rsid w:val="00057F4C"/>
    <w:rsid w:val="00060888"/>
    <w:rsid w:val="0006478B"/>
    <w:rsid w:val="00066589"/>
    <w:rsid w:val="00072DBE"/>
    <w:rsid w:val="00076935"/>
    <w:rsid w:val="00090214"/>
    <w:rsid w:val="000920F0"/>
    <w:rsid w:val="000B2EC0"/>
    <w:rsid w:val="000B44E8"/>
    <w:rsid w:val="000C19B2"/>
    <w:rsid w:val="000C3979"/>
    <w:rsid w:val="000D7D70"/>
    <w:rsid w:val="000F5DFB"/>
    <w:rsid w:val="00112797"/>
    <w:rsid w:val="00142E3E"/>
    <w:rsid w:val="00172B90"/>
    <w:rsid w:val="00192E54"/>
    <w:rsid w:val="00193E3B"/>
    <w:rsid w:val="001A5CB1"/>
    <w:rsid w:val="001B4EB6"/>
    <w:rsid w:val="001C3204"/>
    <w:rsid w:val="001D323B"/>
    <w:rsid w:val="001E095F"/>
    <w:rsid w:val="00232F87"/>
    <w:rsid w:val="00237E4B"/>
    <w:rsid w:val="00243E08"/>
    <w:rsid w:val="0025285D"/>
    <w:rsid w:val="002545D8"/>
    <w:rsid w:val="0028025F"/>
    <w:rsid w:val="00286CC3"/>
    <w:rsid w:val="00287AEE"/>
    <w:rsid w:val="002B505B"/>
    <w:rsid w:val="002B6F2D"/>
    <w:rsid w:val="002B780E"/>
    <w:rsid w:val="002C6D04"/>
    <w:rsid w:val="002E145C"/>
    <w:rsid w:val="002F0BF8"/>
    <w:rsid w:val="002F60BD"/>
    <w:rsid w:val="00312524"/>
    <w:rsid w:val="003147A2"/>
    <w:rsid w:val="00316B14"/>
    <w:rsid w:val="00334D8A"/>
    <w:rsid w:val="0034303D"/>
    <w:rsid w:val="00380F51"/>
    <w:rsid w:val="00381D3E"/>
    <w:rsid w:val="00384E84"/>
    <w:rsid w:val="00393D3D"/>
    <w:rsid w:val="003970B2"/>
    <w:rsid w:val="003A37F9"/>
    <w:rsid w:val="003A6639"/>
    <w:rsid w:val="003B0190"/>
    <w:rsid w:val="003D3D6B"/>
    <w:rsid w:val="003D51C2"/>
    <w:rsid w:val="003F43C2"/>
    <w:rsid w:val="00451E9A"/>
    <w:rsid w:val="0045573F"/>
    <w:rsid w:val="0047702A"/>
    <w:rsid w:val="004869A0"/>
    <w:rsid w:val="00496D57"/>
    <w:rsid w:val="004B3D01"/>
    <w:rsid w:val="004B47DA"/>
    <w:rsid w:val="004C110F"/>
    <w:rsid w:val="004C4EE8"/>
    <w:rsid w:val="004C7727"/>
    <w:rsid w:val="004C77E9"/>
    <w:rsid w:val="004E2477"/>
    <w:rsid w:val="00511C95"/>
    <w:rsid w:val="00515386"/>
    <w:rsid w:val="0052472D"/>
    <w:rsid w:val="00525341"/>
    <w:rsid w:val="0053146F"/>
    <w:rsid w:val="00544041"/>
    <w:rsid w:val="005907E8"/>
    <w:rsid w:val="005E7130"/>
    <w:rsid w:val="005F1DF8"/>
    <w:rsid w:val="005F2C0C"/>
    <w:rsid w:val="0061117E"/>
    <w:rsid w:val="00617FEB"/>
    <w:rsid w:val="00624243"/>
    <w:rsid w:val="00626D49"/>
    <w:rsid w:val="006311E9"/>
    <w:rsid w:val="0064354F"/>
    <w:rsid w:val="00677C92"/>
    <w:rsid w:val="006814C6"/>
    <w:rsid w:val="0068778C"/>
    <w:rsid w:val="006925D6"/>
    <w:rsid w:val="00694E9E"/>
    <w:rsid w:val="006A0EF9"/>
    <w:rsid w:val="006E20A2"/>
    <w:rsid w:val="006F0B83"/>
    <w:rsid w:val="006F1C15"/>
    <w:rsid w:val="0070496E"/>
    <w:rsid w:val="00716468"/>
    <w:rsid w:val="00720A46"/>
    <w:rsid w:val="0072785F"/>
    <w:rsid w:val="00734B77"/>
    <w:rsid w:val="007464EA"/>
    <w:rsid w:val="0075690A"/>
    <w:rsid w:val="00767F26"/>
    <w:rsid w:val="00774B7A"/>
    <w:rsid w:val="0079115F"/>
    <w:rsid w:val="00791463"/>
    <w:rsid w:val="007A3AFD"/>
    <w:rsid w:val="007B5AFA"/>
    <w:rsid w:val="007D1D36"/>
    <w:rsid w:val="007E60E6"/>
    <w:rsid w:val="00867F95"/>
    <w:rsid w:val="00890730"/>
    <w:rsid w:val="008954E6"/>
    <w:rsid w:val="008A4CDB"/>
    <w:rsid w:val="008A56ED"/>
    <w:rsid w:val="008E451E"/>
    <w:rsid w:val="008F1510"/>
    <w:rsid w:val="008F29A7"/>
    <w:rsid w:val="009035AB"/>
    <w:rsid w:val="00907C45"/>
    <w:rsid w:val="00920B9C"/>
    <w:rsid w:val="00932FBA"/>
    <w:rsid w:val="009637D0"/>
    <w:rsid w:val="00963F10"/>
    <w:rsid w:val="00963F6E"/>
    <w:rsid w:val="009A4646"/>
    <w:rsid w:val="009C3DDE"/>
    <w:rsid w:val="009C74F5"/>
    <w:rsid w:val="00A36A01"/>
    <w:rsid w:val="00A50DC4"/>
    <w:rsid w:val="00A862B9"/>
    <w:rsid w:val="00A97191"/>
    <w:rsid w:val="00AA2C03"/>
    <w:rsid w:val="00AD3D26"/>
    <w:rsid w:val="00B0150E"/>
    <w:rsid w:val="00B1512D"/>
    <w:rsid w:val="00B200CC"/>
    <w:rsid w:val="00B235C7"/>
    <w:rsid w:val="00B31527"/>
    <w:rsid w:val="00B71F6D"/>
    <w:rsid w:val="00B7676F"/>
    <w:rsid w:val="00B8401B"/>
    <w:rsid w:val="00BB7825"/>
    <w:rsid w:val="00BC164E"/>
    <w:rsid w:val="00BF1D1A"/>
    <w:rsid w:val="00BF63D0"/>
    <w:rsid w:val="00BF7EFC"/>
    <w:rsid w:val="00C02FD0"/>
    <w:rsid w:val="00C1647D"/>
    <w:rsid w:val="00C16AA8"/>
    <w:rsid w:val="00C20F5F"/>
    <w:rsid w:val="00C230C0"/>
    <w:rsid w:val="00C23A37"/>
    <w:rsid w:val="00C74614"/>
    <w:rsid w:val="00C74EA2"/>
    <w:rsid w:val="00C92483"/>
    <w:rsid w:val="00C96961"/>
    <w:rsid w:val="00CB608B"/>
    <w:rsid w:val="00CC0FBC"/>
    <w:rsid w:val="00CD4A5B"/>
    <w:rsid w:val="00D01CA7"/>
    <w:rsid w:val="00D02396"/>
    <w:rsid w:val="00D02556"/>
    <w:rsid w:val="00D02E07"/>
    <w:rsid w:val="00D072F0"/>
    <w:rsid w:val="00D14433"/>
    <w:rsid w:val="00D3001B"/>
    <w:rsid w:val="00D317D5"/>
    <w:rsid w:val="00D45083"/>
    <w:rsid w:val="00D507E2"/>
    <w:rsid w:val="00D65DB9"/>
    <w:rsid w:val="00D76179"/>
    <w:rsid w:val="00D76790"/>
    <w:rsid w:val="00D832EF"/>
    <w:rsid w:val="00DC6F3C"/>
    <w:rsid w:val="00DE6D0A"/>
    <w:rsid w:val="00DF75E1"/>
    <w:rsid w:val="00DF7D82"/>
    <w:rsid w:val="00E17170"/>
    <w:rsid w:val="00E44047"/>
    <w:rsid w:val="00E93D53"/>
    <w:rsid w:val="00EA2EBA"/>
    <w:rsid w:val="00EA3662"/>
    <w:rsid w:val="00F070C9"/>
    <w:rsid w:val="00F33990"/>
    <w:rsid w:val="00F479CD"/>
    <w:rsid w:val="00F47AB3"/>
    <w:rsid w:val="00F52423"/>
    <w:rsid w:val="00F54EC0"/>
    <w:rsid w:val="00F622AA"/>
    <w:rsid w:val="00F72632"/>
    <w:rsid w:val="00F73D79"/>
    <w:rsid w:val="00F97395"/>
    <w:rsid w:val="00FB61DC"/>
    <w:rsid w:val="00FB62A5"/>
    <w:rsid w:val="00FD3938"/>
    <w:rsid w:val="00FE2941"/>
    <w:rsid w:val="00FF08DF"/>
    <w:rsid w:val="00FF6E84"/>
    <w:rsid w:val="20987C6B"/>
    <w:rsid w:val="256B5E47"/>
    <w:rsid w:val="25B03373"/>
    <w:rsid w:val="3BB95F90"/>
    <w:rsid w:val="423B6BE9"/>
    <w:rsid w:val="578A2FE9"/>
    <w:rsid w:val="5B06167F"/>
    <w:rsid w:val="65CB3326"/>
    <w:rsid w:val="6B591011"/>
    <w:rsid w:val="71D3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778" w:hanging="184"/>
      <w:outlineLvl w:val="0"/>
    </w:pPr>
    <w:rPr>
      <w:rFonts w:ascii="Microsoft JhengHei" w:hAnsi="Microsoft JhengHei" w:eastAsia="Microsoft JhengHei" w:cs="Microsoft JhengHei"/>
      <w:b/>
      <w:bCs/>
      <w:sz w:val="24"/>
      <w:szCs w:val="24"/>
    </w:rPr>
  </w:style>
  <w:style w:type="paragraph" w:styleId="3">
    <w:name w:val="heading 2"/>
    <w:basedOn w:val="1"/>
    <w:next w:val="1"/>
    <w:link w:val="2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qFormat/>
    <w:uiPriority w:val="0"/>
  </w:style>
  <w:style w:type="paragraph" w:styleId="5">
    <w:name w:val="Body Text"/>
    <w:basedOn w:val="1"/>
    <w:link w:val="22"/>
    <w:qFormat/>
    <w:uiPriority w:val="1"/>
    <w:rPr>
      <w:sz w:val="24"/>
      <w:szCs w:val="24"/>
    </w:rPr>
  </w:style>
  <w:style w:type="paragraph" w:styleId="6">
    <w:name w:val="Balloon Text"/>
    <w:basedOn w:val="1"/>
    <w:link w:val="20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19"/>
    <w:qFormat/>
    <w:uiPriority w:val="0"/>
    <w:rPr>
      <w:b/>
      <w:bCs/>
    </w:r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ind w:left="115" w:firstLine="480"/>
    </w:pPr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页眉 字符"/>
    <w:basedOn w:val="11"/>
    <w:link w:val="8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7">
    <w:name w:val="页脚 字符"/>
    <w:basedOn w:val="11"/>
    <w:link w:val="7"/>
    <w:qFormat/>
    <w:uiPriority w:val="99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8">
    <w:name w:val="批注文字 字符"/>
    <w:basedOn w:val="11"/>
    <w:link w:val="4"/>
    <w:qFormat/>
    <w:uiPriority w:val="0"/>
    <w:rPr>
      <w:rFonts w:ascii="宋体" w:hAnsi="宋体" w:eastAsia="宋体" w:cs="宋体"/>
      <w:sz w:val="22"/>
      <w:szCs w:val="22"/>
      <w:lang w:val="zh-CN" w:bidi="zh-CN"/>
    </w:rPr>
  </w:style>
  <w:style w:type="character" w:customStyle="1" w:styleId="19">
    <w:name w:val="批注主题 字符"/>
    <w:basedOn w:val="18"/>
    <w:link w:val="9"/>
    <w:qFormat/>
    <w:uiPriority w:val="0"/>
    <w:rPr>
      <w:rFonts w:ascii="宋体" w:hAnsi="宋体" w:eastAsia="宋体" w:cs="宋体"/>
      <w:b/>
      <w:bCs/>
      <w:sz w:val="22"/>
      <w:szCs w:val="22"/>
      <w:lang w:val="zh-CN" w:bidi="zh-CN"/>
    </w:rPr>
  </w:style>
  <w:style w:type="character" w:customStyle="1" w:styleId="20">
    <w:name w:val="批注框文本 字符"/>
    <w:basedOn w:val="11"/>
    <w:link w:val="6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21">
    <w:name w:val="标题 2 字符"/>
    <w:basedOn w:val="11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  <w:lang w:val="zh-CN" w:bidi="zh-CN"/>
    </w:rPr>
  </w:style>
  <w:style w:type="character" w:customStyle="1" w:styleId="22">
    <w:name w:val="正文文本 字符"/>
    <w:basedOn w:val="11"/>
    <w:link w:val="5"/>
    <w:qFormat/>
    <w:uiPriority w:val="1"/>
    <w:rPr>
      <w:rFonts w:ascii="宋体" w:hAnsi="宋体" w:cs="宋体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1612C-F548-40C4-840B-F675F76C58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5682</Words>
  <Characters>7534</Characters>
  <Lines>59</Lines>
  <Paragraphs>16</Paragraphs>
  <TotalTime>0</TotalTime>
  <ScaleCrop>false</ScaleCrop>
  <LinksUpToDate>false</LinksUpToDate>
  <CharactersWithSpaces>7739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2022-05-23T02:40:00Z</dcterms:created>
  <dc:creator>wke01</dc:creator>
  <cp:lastModifiedBy>Administrator</cp:lastModifiedBy>
  <cp:lastPrinted>2022-06-12T01:19:00Z</cp:lastPrinted>
  <dcterms:modified xsi:type="dcterms:W3CDTF">2023-06-21T02:17:11Z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BD30A8E487DA4777A9D852BE96B218FA</vt:lpwstr>
  </property>
</Properties>
</file>